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FF20E">
      <w:pPr>
        <w:jc w:val="center"/>
        <w:rPr>
          <w:rFonts w:ascii="宋体" w:hAnsi="宋体" w:cs="宋体"/>
          <w:b/>
          <w:bCs/>
          <w:sz w:val="44"/>
          <w:szCs w:val="44"/>
        </w:rPr>
      </w:pPr>
      <w:bookmarkStart w:id="0" w:name="_GoBack"/>
      <w:bookmarkEnd w:id="0"/>
    </w:p>
    <w:p w14:paraId="231AAEB6">
      <w:pPr>
        <w:jc w:val="center"/>
        <w:rPr>
          <w:rFonts w:ascii="宋体" w:hAnsi="宋体" w:cs="宋体"/>
          <w:b/>
          <w:bCs/>
          <w:sz w:val="44"/>
          <w:szCs w:val="44"/>
        </w:rPr>
      </w:pPr>
    </w:p>
    <w:p w14:paraId="303B5DA6">
      <w:pPr>
        <w:jc w:val="center"/>
        <w:rPr>
          <w:rFonts w:ascii="宋体" w:hAnsi="宋体" w:cs="宋体"/>
          <w:b/>
          <w:bCs/>
          <w:sz w:val="44"/>
          <w:szCs w:val="44"/>
        </w:rPr>
      </w:pPr>
    </w:p>
    <w:p w14:paraId="3D65D5D1">
      <w:pPr>
        <w:spacing w:line="560" w:lineRule="exact"/>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汉中市政府投资项目代建服务中心</w:t>
      </w:r>
    </w:p>
    <w:p w14:paraId="535AAE48">
      <w:pPr>
        <w:spacing w:line="560" w:lineRule="exact"/>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val="en-US" w:eastAsia="zh-CN"/>
        </w:rPr>
        <w:t>4</w:t>
      </w:r>
      <w:r>
        <w:rPr>
          <w:rFonts w:hint="eastAsia" w:ascii="方正小标宋简体" w:hAnsi="方正小标宋简体" w:eastAsia="方正小标宋简体" w:cs="方正小标宋简体"/>
          <w:sz w:val="52"/>
          <w:szCs w:val="52"/>
        </w:rPr>
        <w:t>年度部门决算</w:t>
      </w:r>
    </w:p>
    <w:p w14:paraId="042634E4">
      <w:pPr>
        <w:spacing w:line="560" w:lineRule="exact"/>
        <w:jc w:val="center"/>
        <w:rPr>
          <w:rFonts w:hint="eastAsia" w:ascii="楷体" w:hAnsi="楷体" w:eastAsia="楷体" w:cs="楷体"/>
          <w:sz w:val="52"/>
          <w:szCs w:val="52"/>
        </w:rPr>
      </w:pPr>
    </w:p>
    <w:p w14:paraId="0310FE27">
      <w:pPr>
        <w:spacing w:line="560" w:lineRule="exact"/>
        <w:jc w:val="center"/>
        <w:rPr>
          <w:rFonts w:hint="eastAsia" w:ascii="楷体" w:hAnsi="楷体" w:eastAsia="楷体" w:cs="楷体"/>
          <w:sz w:val="52"/>
          <w:szCs w:val="52"/>
        </w:rPr>
      </w:pPr>
    </w:p>
    <w:p w14:paraId="094300EE">
      <w:pPr>
        <w:spacing w:line="560" w:lineRule="exact"/>
        <w:jc w:val="center"/>
        <w:rPr>
          <w:rFonts w:hint="eastAsia" w:ascii="方正小标宋简体" w:hAnsi="方正小标宋简体" w:eastAsia="方正小标宋简体" w:cs="方正小标宋简体"/>
          <w:sz w:val="52"/>
          <w:szCs w:val="52"/>
        </w:rPr>
      </w:pPr>
    </w:p>
    <w:p w14:paraId="53F907F9">
      <w:pPr>
        <w:spacing w:line="560" w:lineRule="exact"/>
        <w:jc w:val="center"/>
        <w:rPr>
          <w:rFonts w:ascii="宋体" w:hAnsi="宋体" w:cs="宋体"/>
          <w:b/>
          <w:bCs/>
          <w:sz w:val="44"/>
          <w:szCs w:val="44"/>
        </w:rPr>
      </w:pPr>
    </w:p>
    <w:p w14:paraId="4C8ECBD9">
      <w:pPr>
        <w:spacing w:line="560" w:lineRule="exact"/>
        <w:jc w:val="center"/>
        <w:rPr>
          <w:rFonts w:ascii="宋体" w:hAnsi="宋体" w:cs="宋体"/>
          <w:b/>
          <w:bCs/>
          <w:sz w:val="44"/>
          <w:szCs w:val="44"/>
        </w:rPr>
      </w:pPr>
    </w:p>
    <w:p w14:paraId="64851EDF">
      <w:pPr>
        <w:spacing w:line="560" w:lineRule="exact"/>
        <w:jc w:val="center"/>
        <w:rPr>
          <w:rFonts w:ascii="宋体" w:hAnsi="宋体" w:cs="宋体"/>
          <w:b/>
          <w:bCs/>
          <w:sz w:val="44"/>
          <w:szCs w:val="44"/>
        </w:rPr>
      </w:pPr>
    </w:p>
    <w:p w14:paraId="30315CC1">
      <w:pPr>
        <w:spacing w:line="560" w:lineRule="exact"/>
        <w:rPr>
          <w:rFonts w:ascii="宋体" w:hAnsi="宋体" w:cs="宋体"/>
          <w:b/>
          <w:bCs/>
          <w:sz w:val="44"/>
          <w:szCs w:val="44"/>
        </w:rPr>
      </w:pPr>
    </w:p>
    <w:p w14:paraId="5EFD8EC4">
      <w:pPr>
        <w:spacing w:line="560" w:lineRule="exact"/>
        <w:rPr>
          <w:rFonts w:ascii="宋体" w:hAnsi="宋体" w:cs="宋体"/>
          <w:b/>
          <w:bCs/>
          <w:sz w:val="44"/>
          <w:szCs w:val="44"/>
        </w:rPr>
      </w:pPr>
    </w:p>
    <w:p w14:paraId="192770D8">
      <w:pPr>
        <w:spacing w:line="560" w:lineRule="exact"/>
        <w:rPr>
          <w:rFonts w:ascii="宋体" w:hAnsi="宋体" w:cs="宋体"/>
          <w:b/>
          <w:bCs/>
          <w:sz w:val="44"/>
          <w:szCs w:val="44"/>
        </w:rPr>
      </w:pPr>
    </w:p>
    <w:p w14:paraId="791D9A51">
      <w:pPr>
        <w:spacing w:line="560" w:lineRule="exact"/>
        <w:rPr>
          <w:rFonts w:ascii="宋体" w:hAnsi="宋体" w:cs="宋体"/>
          <w:b/>
          <w:bCs/>
          <w:sz w:val="44"/>
          <w:szCs w:val="44"/>
        </w:rPr>
      </w:pPr>
    </w:p>
    <w:p w14:paraId="7CA7702F">
      <w:pPr>
        <w:spacing w:line="560" w:lineRule="exact"/>
        <w:rPr>
          <w:rFonts w:hint="eastAsia" w:ascii="宋体" w:hAnsi="宋体" w:cs="宋体"/>
          <w:b/>
          <w:bCs/>
          <w:sz w:val="44"/>
          <w:szCs w:val="44"/>
        </w:rPr>
      </w:pPr>
    </w:p>
    <w:p w14:paraId="02568ACC">
      <w:pPr>
        <w:spacing w:line="560" w:lineRule="exact"/>
        <w:rPr>
          <w:rFonts w:ascii="宋体" w:hAnsi="宋体" w:cs="宋体"/>
          <w:b/>
          <w:bCs/>
          <w:sz w:val="44"/>
          <w:szCs w:val="44"/>
        </w:rPr>
      </w:pPr>
    </w:p>
    <w:p w14:paraId="253CEEBD">
      <w:pPr>
        <w:spacing w:line="560" w:lineRule="exact"/>
        <w:rPr>
          <w:rFonts w:ascii="宋体" w:hAnsi="宋体" w:cs="宋体"/>
          <w:b/>
          <w:bCs/>
          <w:sz w:val="44"/>
          <w:szCs w:val="44"/>
        </w:rPr>
      </w:pPr>
    </w:p>
    <w:p w14:paraId="26FDB95C">
      <w:pPr>
        <w:spacing w:line="560" w:lineRule="exact"/>
        <w:rPr>
          <w:rFonts w:ascii="宋体" w:hAnsi="宋体" w:cs="宋体"/>
          <w:b/>
          <w:bCs/>
          <w:sz w:val="44"/>
          <w:szCs w:val="44"/>
        </w:rPr>
      </w:pPr>
    </w:p>
    <w:p w14:paraId="29767D7E">
      <w:pPr>
        <w:spacing w:line="400" w:lineRule="exact"/>
        <w:ind w:firstLine="2570" w:firstLineChars="800"/>
        <w:rPr>
          <w:rFonts w:ascii="宋体" w:hAnsi="宋体" w:cs="宋体"/>
          <w:b/>
          <w:bCs/>
          <w:sz w:val="32"/>
          <w:szCs w:val="32"/>
        </w:rPr>
      </w:pPr>
    </w:p>
    <w:p w14:paraId="0D56DAE8">
      <w:pPr>
        <w:spacing w:line="400" w:lineRule="exact"/>
        <w:ind w:firstLine="2570" w:firstLineChars="800"/>
        <w:rPr>
          <w:rFonts w:hint="eastAsia" w:ascii="宋体" w:hAnsi="宋体" w:cs="宋体"/>
          <w:b/>
          <w:bCs/>
          <w:sz w:val="32"/>
          <w:szCs w:val="32"/>
        </w:rPr>
      </w:pPr>
    </w:p>
    <w:p w14:paraId="09464219">
      <w:pPr>
        <w:spacing w:line="400" w:lineRule="exact"/>
        <w:ind w:firstLine="2088" w:firstLineChars="650"/>
        <w:rPr>
          <w:rFonts w:hint="eastAsia" w:ascii="宋体" w:hAnsi="宋体" w:eastAsia="宋体" w:cs="宋体"/>
          <w:b/>
          <w:bCs/>
          <w:sz w:val="32"/>
          <w:szCs w:val="32"/>
          <w:lang w:eastAsia="zh-CN"/>
        </w:rPr>
      </w:pPr>
      <w:r>
        <w:rPr>
          <w:rFonts w:hint="eastAsia" w:ascii="宋体" w:hAnsi="宋体" w:cs="宋体"/>
          <w:b/>
          <w:bCs/>
          <w:sz w:val="32"/>
          <w:szCs w:val="32"/>
        </w:rPr>
        <w:t>保密审查情况：</w:t>
      </w:r>
      <w:r>
        <w:rPr>
          <w:rFonts w:hint="eastAsia" w:ascii="宋体" w:hAnsi="宋体" w:cs="宋体"/>
          <w:b/>
          <w:bCs/>
          <w:sz w:val="32"/>
          <w:szCs w:val="32"/>
          <w:lang w:eastAsia="zh-CN"/>
        </w:rPr>
        <w:t>已审查</w:t>
      </w:r>
    </w:p>
    <w:p w14:paraId="726A4D4E">
      <w:pPr>
        <w:spacing w:line="400" w:lineRule="exact"/>
        <w:jc w:val="center"/>
        <w:rPr>
          <w:rFonts w:ascii="宋体" w:hAnsi="宋体" w:cs="宋体"/>
          <w:b/>
          <w:bCs/>
          <w:sz w:val="32"/>
          <w:szCs w:val="32"/>
        </w:rPr>
      </w:pPr>
    </w:p>
    <w:p w14:paraId="3B293A3B">
      <w:pPr>
        <w:spacing w:line="400" w:lineRule="exact"/>
        <w:ind w:firstLine="2088" w:firstLineChars="650"/>
        <w:rPr>
          <w:rFonts w:hint="eastAsia" w:ascii="宋体" w:hAnsi="宋体" w:cs="宋体"/>
          <w:b/>
          <w:bCs/>
          <w:sz w:val="32"/>
          <w:szCs w:val="32"/>
        </w:rPr>
      </w:pPr>
      <w:r>
        <w:rPr>
          <w:rFonts w:hint="eastAsia" w:ascii="宋体" w:hAnsi="宋体" w:cs="宋体"/>
          <w:b/>
          <w:bCs/>
          <w:sz w:val="32"/>
          <w:szCs w:val="32"/>
        </w:rPr>
        <w:t>主要负责人审签情况：</w:t>
      </w:r>
      <w:r>
        <w:rPr>
          <w:rFonts w:hint="eastAsia" w:ascii="宋体" w:hAnsi="宋体" w:cs="宋体"/>
          <w:b/>
          <w:bCs/>
          <w:sz w:val="32"/>
          <w:szCs w:val="32"/>
          <w:lang w:eastAsia="zh-CN"/>
        </w:rPr>
        <w:t>已审签</w:t>
      </w:r>
    </w:p>
    <w:p w14:paraId="3855B03E">
      <w:pPr>
        <w:spacing w:line="400" w:lineRule="exact"/>
        <w:rPr>
          <w:rFonts w:ascii="黑体" w:hAnsi="宋体" w:eastAsia="黑体"/>
          <w:bCs/>
          <w:color w:val="000000"/>
          <w:kern w:val="0"/>
          <w:sz w:val="36"/>
          <w:szCs w:val="36"/>
        </w:rPr>
        <w:sectPr>
          <w:footerReference r:id="rId3" w:type="default"/>
          <w:pgSz w:w="11906" w:h="16838"/>
          <w:pgMar w:top="1440" w:right="1800" w:bottom="1440" w:left="1800" w:header="851" w:footer="992" w:gutter="0"/>
          <w:pgNumType w:start="1"/>
          <w:cols w:space="720" w:num="1"/>
          <w:docGrid w:type="lines" w:linePitch="315" w:charSpace="0"/>
        </w:sectPr>
      </w:pPr>
    </w:p>
    <w:p w14:paraId="09C56E1B">
      <w:pPr>
        <w:widowControl/>
        <w:jc w:val="center"/>
        <w:rPr>
          <w:rFonts w:ascii="黑体" w:hAnsi="宋体" w:eastAsia="黑体"/>
          <w:bCs/>
          <w:color w:val="000000"/>
          <w:kern w:val="0"/>
          <w:sz w:val="36"/>
          <w:szCs w:val="36"/>
        </w:rPr>
      </w:pPr>
      <w:r>
        <w:rPr>
          <w:rFonts w:ascii="黑体" w:hAnsi="宋体" w:eastAsia="黑体"/>
          <w:bCs/>
          <w:color w:val="000000"/>
          <w:kern w:val="0"/>
          <w:sz w:val="36"/>
          <w:szCs w:val="36"/>
        </w:rPr>
        <w:t>目</w:t>
      </w:r>
      <w:r>
        <w:rPr>
          <w:rFonts w:hint="eastAsia" w:ascii="黑体" w:hAnsi="宋体" w:eastAsia="黑体"/>
          <w:bCs/>
          <w:color w:val="000000"/>
          <w:kern w:val="0"/>
          <w:sz w:val="36"/>
          <w:szCs w:val="36"/>
        </w:rPr>
        <w:t xml:space="preserve">  </w:t>
      </w:r>
      <w:r>
        <w:rPr>
          <w:rFonts w:ascii="黑体" w:hAnsi="宋体" w:eastAsia="黑体"/>
          <w:bCs/>
          <w:color w:val="000000"/>
          <w:kern w:val="0"/>
          <w:sz w:val="36"/>
          <w:szCs w:val="36"/>
        </w:rPr>
        <w:t>录</w:t>
      </w:r>
    </w:p>
    <w:p w14:paraId="5E981200">
      <w:pPr>
        <w:widowControl/>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color w:val="000000"/>
          <w:kern w:val="0"/>
          <w:sz w:val="32"/>
          <w:szCs w:val="32"/>
        </w:rPr>
        <w:t>第一部分  部门（单位）概况</w:t>
      </w:r>
    </w:p>
    <w:p w14:paraId="7AF1CE2D">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一、部门（单位）主要职责及内设机构</w:t>
      </w:r>
    </w:p>
    <w:p w14:paraId="34E0BDBD">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二、部门决算单位构成</w:t>
      </w:r>
    </w:p>
    <w:p w14:paraId="0BF472FA">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三、部门（单位）人员情况</w:t>
      </w:r>
    </w:p>
    <w:p w14:paraId="6F97AF63">
      <w:pPr>
        <w:widowControl/>
        <w:jc w:val="center"/>
        <w:rPr>
          <w:rFonts w:hint="eastAsia" w:ascii="方正小标宋简体" w:hAnsi="方正小标宋简体" w:eastAsia="方正小标宋简体" w:cs="方正小标宋简体"/>
          <w:color w:val="000000"/>
          <w:kern w:val="0"/>
          <w:sz w:val="32"/>
          <w:szCs w:val="32"/>
        </w:rPr>
      </w:pPr>
      <w:r>
        <w:rPr>
          <w:rFonts w:hint="eastAsia" w:ascii="方正小标宋简体" w:hAnsi="方正小标宋简体" w:eastAsia="方正小标宋简体" w:cs="方正小标宋简体"/>
          <w:color w:val="000000"/>
          <w:kern w:val="0"/>
          <w:sz w:val="32"/>
          <w:szCs w:val="32"/>
        </w:rPr>
        <w:t>第二部分  202</w:t>
      </w:r>
      <w:r>
        <w:rPr>
          <w:rFonts w:hint="eastAsia" w:ascii="方正小标宋简体" w:hAnsi="方正小标宋简体" w:eastAsia="方正小标宋简体" w:cs="方正小标宋简体"/>
          <w:color w:val="000000"/>
          <w:kern w:val="0"/>
          <w:sz w:val="32"/>
          <w:szCs w:val="32"/>
          <w:lang w:val="en-US" w:eastAsia="zh-CN"/>
        </w:rPr>
        <w:t>4</w:t>
      </w:r>
      <w:r>
        <w:rPr>
          <w:rFonts w:hint="eastAsia" w:ascii="方正小标宋简体" w:hAnsi="方正小标宋简体" w:eastAsia="方正小标宋简体" w:cs="方正小标宋简体"/>
          <w:color w:val="000000"/>
          <w:kern w:val="0"/>
          <w:sz w:val="32"/>
          <w:szCs w:val="32"/>
        </w:rPr>
        <w:t>年度部门决算情况说明</w:t>
      </w:r>
    </w:p>
    <w:p w14:paraId="60BBC2E4">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一、收入支出决算总体情况说明   </w:t>
      </w:r>
    </w:p>
    <w:p w14:paraId="77329580">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二、收入决算情况说明     </w:t>
      </w:r>
    </w:p>
    <w:p w14:paraId="3A5E03E1">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三、支出决算情况说明    </w:t>
      </w:r>
    </w:p>
    <w:p w14:paraId="1BB84CB0">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四、财政拨款收入支出决算总体情况说明    </w:t>
      </w:r>
    </w:p>
    <w:p w14:paraId="07B00C33">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五、一般公共预算财政拨款支出决算情况说明 </w:t>
      </w:r>
    </w:p>
    <w:p w14:paraId="3339AF0B">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六、一般公共预算财政拨款基本支出决算情况说明   </w:t>
      </w:r>
    </w:p>
    <w:p w14:paraId="23850FB4">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七、政府性基金预算财政拨款收入支出决算情况说明 </w:t>
      </w:r>
    </w:p>
    <w:p w14:paraId="01DFD6AE">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八、国有资本经营预算财政拨款支出决算情况说明</w:t>
      </w:r>
    </w:p>
    <w:p w14:paraId="63D07402">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九、财政拨款“三公”经费及会议费、培训费支出决算情况说明  </w:t>
      </w:r>
    </w:p>
    <w:p w14:paraId="4A2DD502">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十、机关运行经费支出情况说明 </w:t>
      </w:r>
    </w:p>
    <w:p w14:paraId="1F0F2CDC">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十一、政府采购支出情况说明 </w:t>
      </w:r>
    </w:p>
    <w:p w14:paraId="2E857EA3">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十二、国有资产占用及购置情况说明</w:t>
      </w:r>
    </w:p>
    <w:p w14:paraId="7047DF54">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十三、预算绩效情况说明</w:t>
      </w:r>
    </w:p>
    <w:p w14:paraId="3D944BE4">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十四、其他需要说明的情况</w:t>
      </w:r>
    </w:p>
    <w:p w14:paraId="1D2DE66C">
      <w:pPr>
        <w:widowControl/>
        <w:jc w:val="center"/>
        <w:rPr>
          <w:rFonts w:hint="eastAsia" w:ascii="方正小标宋简体" w:hAnsi="方正小标宋简体" w:eastAsia="方正小标宋简体" w:cs="方正小标宋简体"/>
          <w:color w:val="000000"/>
          <w:kern w:val="0"/>
          <w:sz w:val="32"/>
          <w:szCs w:val="32"/>
        </w:rPr>
      </w:pPr>
    </w:p>
    <w:p w14:paraId="4951806B">
      <w:pPr>
        <w:widowControl/>
        <w:jc w:val="center"/>
        <w:rPr>
          <w:rFonts w:hint="eastAsia" w:ascii="方正小标宋简体" w:hAnsi="方正小标宋简体" w:eastAsia="方正小标宋简体" w:cs="方正小标宋简体"/>
          <w:color w:val="000000"/>
          <w:kern w:val="0"/>
          <w:sz w:val="32"/>
          <w:szCs w:val="32"/>
        </w:rPr>
      </w:pPr>
      <w:r>
        <w:rPr>
          <w:rFonts w:hint="eastAsia" w:ascii="方正小标宋简体" w:hAnsi="方正小标宋简体" w:eastAsia="方正小标宋简体" w:cs="方正小标宋简体"/>
          <w:color w:val="000000"/>
          <w:kern w:val="0"/>
          <w:sz w:val="32"/>
          <w:szCs w:val="32"/>
        </w:rPr>
        <w:t xml:space="preserve">第三部分  </w:t>
      </w:r>
      <w:r>
        <w:rPr>
          <w:rFonts w:hint="eastAsia" w:ascii="方正小标宋简体" w:hAnsi="方正小标宋简体" w:eastAsia="方正小标宋简体" w:cs="方正小标宋简体"/>
          <w:color w:val="000000"/>
          <w:kern w:val="0"/>
          <w:sz w:val="32"/>
          <w:szCs w:val="32"/>
          <w:lang w:eastAsia="zh-CN"/>
        </w:rPr>
        <w:t>2024</w:t>
      </w:r>
      <w:r>
        <w:rPr>
          <w:rFonts w:hint="eastAsia" w:ascii="方正小标宋简体" w:hAnsi="方正小标宋简体" w:eastAsia="方正小标宋简体" w:cs="方正小标宋简体"/>
          <w:color w:val="000000"/>
          <w:kern w:val="0"/>
          <w:sz w:val="32"/>
          <w:szCs w:val="32"/>
        </w:rPr>
        <w:t>年度部门决算表</w:t>
      </w:r>
    </w:p>
    <w:p w14:paraId="0BDD9C11">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一、收入支出决算总表     </w:t>
      </w:r>
    </w:p>
    <w:p w14:paraId="54EC5B6A">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二、收入决算表     </w:t>
      </w:r>
    </w:p>
    <w:p w14:paraId="191DE9E2">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三、支出决算表    </w:t>
      </w:r>
    </w:p>
    <w:p w14:paraId="0535FCE0">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四、财政拨款收入支出决算总表    </w:t>
      </w:r>
    </w:p>
    <w:p w14:paraId="525153A6">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五、一般公共预算财政拨款支出决算表  </w:t>
      </w:r>
    </w:p>
    <w:p w14:paraId="6ED19EC8">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六、一般公共预算财政拨款基本支出决算表    </w:t>
      </w:r>
    </w:p>
    <w:p w14:paraId="35B423CB">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七、政府性基金预算财政拨款收入支出决算表 </w:t>
      </w:r>
    </w:p>
    <w:p w14:paraId="3E36C6E6">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八、国有资本经营预算财政拨款支出决算表</w:t>
      </w:r>
    </w:p>
    <w:p w14:paraId="4BD9D344">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九、财政拨款“三公”经费及会议费、培训费支出决算表 </w:t>
      </w:r>
    </w:p>
    <w:p w14:paraId="78E1E17B">
      <w:pPr>
        <w:widowControl/>
        <w:jc w:val="center"/>
        <w:rPr>
          <w:rFonts w:hint="eastAsia" w:ascii="方正小标宋简体" w:hAnsi="方正小标宋简体" w:eastAsia="方正小标宋简体" w:cs="方正小标宋简体"/>
          <w:color w:val="000000"/>
          <w:kern w:val="0"/>
          <w:sz w:val="32"/>
          <w:szCs w:val="32"/>
        </w:rPr>
      </w:pPr>
    </w:p>
    <w:p w14:paraId="78678398">
      <w:pPr>
        <w:widowControl/>
        <w:jc w:val="center"/>
        <w:rPr>
          <w:rFonts w:hint="eastAsia" w:ascii="方正小标宋简体" w:hAnsi="方正小标宋简体" w:eastAsia="方正小标宋简体" w:cs="方正小标宋简体"/>
          <w:color w:val="000000"/>
          <w:kern w:val="0"/>
          <w:sz w:val="32"/>
          <w:szCs w:val="32"/>
        </w:rPr>
      </w:pPr>
    </w:p>
    <w:p w14:paraId="1CF45BB6">
      <w:pPr>
        <w:widowControl/>
        <w:jc w:val="center"/>
        <w:rPr>
          <w:rFonts w:hint="eastAsia" w:ascii="方正小标宋简体" w:hAnsi="方正小标宋简体" w:eastAsia="方正小标宋简体" w:cs="方正小标宋简体"/>
          <w:color w:val="000000"/>
          <w:kern w:val="0"/>
          <w:sz w:val="32"/>
          <w:szCs w:val="32"/>
        </w:rPr>
      </w:pPr>
      <w:r>
        <w:rPr>
          <w:rFonts w:hint="eastAsia" w:ascii="方正小标宋简体" w:hAnsi="方正小标宋简体" w:eastAsia="方正小标宋简体" w:cs="方正小标宋简体"/>
          <w:color w:val="000000"/>
          <w:kern w:val="0"/>
          <w:sz w:val="32"/>
          <w:szCs w:val="32"/>
        </w:rPr>
        <w:t>第四部分 专业名词解释</w:t>
      </w:r>
    </w:p>
    <w:p w14:paraId="1EC5FD95">
      <w:pPr>
        <w:widowControl/>
        <w:jc w:val="center"/>
        <w:rPr>
          <w:rFonts w:hint="eastAsia" w:ascii="方正小标宋简体" w:hAnsi="方正小标宋简体" w:eastAsia="方正小标宋简体" w:cs="方正小标宋简体"/>
          <w:color w:val="000000"/>
          <w:kern w:val="0"/>
          <w:sz w:val="32"/>
          <w:szCs w:val="32"/>
        </w:rPr>
      </w:pPr>
    </w:p>
    <w:p w14:paraId="73209F0A">
      <w:pPr>
        <w:widowControl/>
        <w:jc w:val="center"/>
        <w:rPr>
          <w:rFonts w:hint="eastAsia" w:ascii="方正小标宋简体" w:hAnsi="方正小标宋简体" w:eastAsia="方正小标宋简体" w:cs="方正小标宋简体"/>
          <w:color w:val="000000"/>
          <w:kern w:val="0"/>
          <w:sz w:val="44"/>
          <w:szCs w:val="44"/>
        </w:rPr>
      </w:pPr>
      <w:r>
        <w:rPr>
          <w:rFonts w:hint="eastAsia" w:ascii="仿宋" w:hAnsi="仿宋" w:eastAsia="仿宋" w:cs="仿宋"/>
          <w:iCs/>
          <w:color w:val="000000"/>
          <w:kern w:val="0"/>
          <w:sz w:val="32"/>
          <w:szCs w:val="32"/>
          <w:highlight w:val="cyan"/>
        </w:rPr>
        <w:br w:type="page"/>
      </w:r>
      <w:r>
        <w:rPr>
          <w:rFonts w:hint="eastAsia" w:ascii="方正小标宋简体" w:hAnsi="方正小标宋简体" w:eastAsia="方正小标宋简体" w:cs="方正小标宋简体"/>
          <w:color w:val="000000"/>
          <w:kern w:val="0"/>
          <w:sz w:val="44"/>
          <w:szCs w:val="44"/>
        </w:rPr>
        <w:t>第一部分 部门（单位）概况</w:t>
      </w:r>
    </w:p>
    <w:p w14:paraId="626D2EAA">
      <w:pPr>
        <w:jc w:val="center"/>
        <w:rPr>
          <w:rFonts w:hint="eastAsia" w:ascii="方正小标宋简体" w:hAnsi="方正小标宋简体" w:eastAsia="方正小标宋简体" w:cs="方正小标宋简体"/>
          <w:color w:val="000000"/>
          <w:kern w:val="0"/>
          <w:sz w:val="44"/>
          <w:szCs w:val="44"/>
        </w:rPr>
      </w:pPr>
    </w:p>
    <w:p w14:paraId="1B91DB33">
      <w:pPr>
        <w:rPr>
          <w:rFonts w:ascii="黑体" w:hAnsi="宋体" w:eastAsia="黑体"/>
          <w:color w:val="000000"/>
          <w:kern w:val="0"/>
          <w:sz w:val="32"/>
          <w:szCs w:val="32"/>
        </w:rPr>
      </w:pPr>
      <w:r>
        <w:rPr>
          <w:rFonts w:hint="eastAsia" w:ascii="黑体" w:hAnsi="宋体" w:eastAsia="黑体"/>
          <w:color w:val="000000"/>
          <w:kern w:val="0"/>
          <w:sz w:val="32"/>
          <w:szCs w:val="32"/>
        </w:rPr>
        <w:t xml:space="preserve">    一、部门（单位）主要职责及</w:t>
      </w:r>
      <w:r>
        <w:rPr>
          <w:rFonts w:hint="eastAsia" w:ascii="黑体" w:hAnsi="宋体" w:eastAsia="黑体"/>
          <w:color w:val="000000"/>
          <w:kern w:val="0"/>
          <w:sz w:val="32"/>
          <w:szCs w:val="32"/>
          <w:lang w:val="en-US" w:eastAsia="zh-CN"/>
        </w:rPr>
        <w:t>内设</w:t>
      </w:r>
      <w:r>
        <w:rPr>
          <w:rFonts w:hint="eastAsia" w:ascii="黑体" w:hAnsi="宋体" w:eastAsia="黑体"/>
          <w:color w:val="000000"/>
          <w:kern w:val="0"/>
          <w:sz w:val="32"/>
          <w:szCs w:val="32"/>
        </w:rPr>
        <w:t>机构</w:t>
      </w:r>
    </w:p>
    <w:p w14:paraId="183FB587">
      <w:pPr>
        <w:widowControl/>
        <w:ind w:firstLine="640" w:firstLineChars="200"/>
        <w:jc w:val="left"/>
        <w:rPr>
          <w:rFonts w:hint="eastAsia" w:ascii="楷体" w:hAnsi="楷体" w:eastAsia="楷体" w:cs="楷体"/>
          <w:color w:val="000000"/>
          <w:kern w:val="0"/>
          <w:sz w:val="32"/>
          <w:szCs w:val="32"/>
        </w:rPr>
      </w:pPr>
      <w:r>
        <w:rPr>
          <w:rFonts w:hint="eastAsia" w:ascii="楷体" w:hAnsi="楷体" w:eastAsia="楷体" w:cs="楷体"/>
          <w:color w:val="000000"/>
          <w:kern w:val="0"/>
          <w:sz w:val="32"/>
          <w:szCs w:val="32"/>
        </w:rPr>
        <w:t>（一）主要职责</w:t>
      </w:r>
    </w:p>
    <w:p w14:paraId="11797647">
      <w:pPr>
        <w:widowControl/>
        <w:ind w:firstLine="640" w:firstLineChars="200"/>
        <w:jc w:val="left"/>
        <w:rPr>
          <w:rFonts w:hint="eastAsia" w:ascii="仿宋_GB2312" w:hAnsi="仿宋_GB2312" w:eastAsia="仿宋_GB2312" w:cs="仿宋_GB2312"/>
          <w:color w:val="FF0000"/>
          <w:kern w:val="0"/>
          <w:sz w:val="32"/>
          <w:szCs w:val="32"/>
        </w:rPr>
      </w:pPr>
      <w:r>
        <w:rPr>
          <w:rFonts w:hint="eastAsia" w:ascii="仿宋_GB2312" w:hAnsi="仿宋_GB2312" w:eastAsia="仿宋_GB2312" w:cs="仿宋_GB2312"/>
          <w:color w:val="FF0000"/>
          <w:kern w:val="0"/>
          <w:sz w:val="32"/>
          <w:szCs w:val="32"/>
        </w:rPr>
        <w:t>为进一步提高政府投资项目管理水平和投资效益，市委编委会2021年第二次会议决定，在“汉中市城市建设投资开发项目管理领导小组办公室”加挂“汉中市政府投资项目代建服务中心”牌子。将市城投办（市政府投资项目代建服务中心）由市住房和城乡建设局管理调整由市发展和改革委员会管理，仍为正处级事业单位，经费供养性质由自收自支调整为财政全额预算，领导职数调整设置为1正2副，原核定15名编制数不变。</w:t>
      </w:r>
    </w:p>
    <w:p w14:paraId="3A26265A">
      <w:pPr>
        <w:widowControl/>
        <w:ind w:firstLine="640" w:firstLineChars="200"/>
        <w:jc w:val="left"/>
        <w:rPr>
          <w:rFonts w:hint="eastAsia" w:ascii="楷体" w:hAnsi="楷体" w:eastAsia="楷体" w:cs="楷体"/>
          <w:color w:val="000000"/>
          <w:kern w:val="0"/>
          <w:sz w:val="32"/>
          <w:szCs w:val="32"/>
        </w:rPr>
      </w:pPr>
      <w:r>
        <w:rPr>
          <w:rFonts w:hint="eastAsia" w:ascii="楷体" w:hAnsi="楷体" w:eastAsia="楷体" w:cs="楷体"/>
          <w:color w:val="000000"/>
          <w:kern w:val="0"/>
          <w:sz w:val="32"/>
          <w:szCs w:val="32"/>
        </w:rPr>
        <w:t>（二）内设机构</w:t>
      </w:r>
    </w:p>
    <w:p w14:paraId="4E2494F0">
      <w:pPr>
        <w:ind w:firstLine="640" w:firstLineChars="200"/>
        <w:jc w:val="left"/>
        <w:rPr>
          <w:rFonts w:hint="eastAsia" w:ascii="仿宋_GB2312" w:hAnsi="仿宋_GB2312" w:eastAsia="仿宋_GB2312" w:cs="仿宋_GB2312"/>
          <w:sz w:val="32"/>
          <w:szCs w:val="32"/>
          <w:highlight w:val="none"/>
        </w:rPr>
      </w:pPr>
      <w:r>
        <w:rPr>
          <w:rFonts w:hint="eastAsia" w:ascii="仿宋_GB2312" w:eastAsia="仿宋_GB2312"/>
          <w:sz w:val="32"/>
          <w:szCs w:val="32"/>
          <w:highlight w:val="none"/>
        </w:rPr>
        <w:t>内设机构4个，均为正科级。（一）综合科。编制3名，设科长1名。（二）资金管理科。编制3名，设科长1名。（三）项目建设管理科。编制3名，设科长1名。（四）监督管理科。编制3名，设科长1名。（市政府投资项目代建服务中心）事业编制15名，设主任1名、副主任2名。内设机构科级领导职数4名。</w:t>
      </w:r>
    </w:p>
    <w:p w14:paraId="5AC37EEF">
      <w:pPr>
        <w:widowControl/>
        <w:ind w:firstLine="640" w:firstLineChars="200"/>
        <w:jc w:val="left"/>
        <w:rPr>
          <w:rFonts w:hint="eastAsia" w:ascii="黑体" w:hAnsi="宋体" w:eastAsia="黑体"/>
          <w:color w:val="000000"/>
          <w:kern w:val="0"/>
          <w:sz w:val="32"/>
          <w:szCs w:val="32"/>
        </w:rPr>
      </w:pPr>
      <w:r>
        <w:rPr>
          <w:rFonts w:hint="eastAsia" w:ascii="黑体" w:hAnsi="宋体" w:eastAsia="黑体"/>
          <w:color w:val="000000"/>
          <w:kern w:val="0"/>
          <w:sz w:val="32"/>
          <w:szCs w:val="32"/>
        </w:rPr>
        <w:t>二</w:t>
      </w:r>
      <w:r>
        <w:rPr>
          <w:rFonts w:ascii="黑体" w:hAnsi="宋体" w:eastAsia="黑体"/>
          <w:color w:val="000000"/>
          <w:kern w:val="0"/>
          <w:sz w:val="32"/>
          <w:szCs w:val="32"/>
        </w:rPr>
        <w:t>、</w:t>
      </w:r>
      <w:r>
        <w:rPr>
          <w:rFonts w:hint="eastAsia" w:ascii="黑体" w:hAnsi="宋体" w:eastAsia="黑体"/>
          <w:color w:val="000000"/>
          <w:kern w:val="0"/>
          <w:sz w:val="32"/>
          <w:szCs w:val="32"/>
        </w:rPr>
        <w:t>部门决算单位构成</w:t>
      </w:r>
    </w:p>
    <w:p w14:paraId="14817129">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本单位作为</w:t>
      </w:r>
      <w:r>
        <w:rPr>
          <w:rFonts w:hint="eastAsia" w:ascii="仿宋_GB2312" w:eastAsia="仿宋_GB2312"/>
          <w:sz w:val="32"/>
          <w:szCs w:val="32"/>
          <w:highlight w:val="none"/>
          <w:lang w:val="en-US" w:eastAsia="zh-CN"/>
        </w:rPr>
        <w:t>汉中市发改委</w:t>
      </w:r>
      <w:r>
        <w:rPr>
          <w:rFonts w:hint="eastAsia" w:ascii="仿宋_GB2312" w:eastAsia="仿宋_GB2312"/>
          <w:sz w:val="32"/>
          <w:szCs w:val="32"/>
          <w:highlight w:val="none"/>
        </w:rPr>
        <w:t>二级预算单位，编制202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年度部门决算。</w:t>
      </w:r>
    </w:p>
    <w:p w14:paraId="340179CD">
      <w:pPr>
        <w:ind w:firstLine="640" w:firstLineChars="200"/>
        <w:rPr>
          <w:rFonts w:hint="eastAsia" w:ascii="黑体" w:hAnsi="黑体" w:eastAsia="黑体"/>
          <w:sz w:val="32"/>
          <w:szCs w:val="32"/>
        </w:rPr>
      </w:pPr>
      <w:r>
        <w:rPr>
          <w:rFonts w:hint="eastAsia" w:ascii="黑体" w:hAnsi="黑体" w:eastAsia="黑体"/>
          <w:sz w:val="32"/>
          <w:szCs w:val="32"/>
        </w:rPr>
        <w:t>三、</w:t>
      </w:r>
      <w:r>
        <w:rPr>
          <w:rFonts w:hint="eastAsia" w:ascii="黑体" w:hAnsi="宋体" w:eastAsia="黑体"/>
          <w:color w:val="000000"/>
          <w:kern w:val="0"/>
          <w:sz w:val="32"/>
          <w:szCs w:val="32"/>
        </w:rPr>
        <w:t>部门（单位）</w:t>
      </w:r>
      <w:r>
        <w:rPr>
          <w:rFonts w:hint="eastAsia" w:ascii="黑体" w:hAnsi="黑体" w:eastAsia="黑体"/>
          <w:sz w:val="32"/>
          <w:szCs w:val="32"/>
        </w:rPr>
        <w:t>人员情况</w:t>
      </w:r>
    </w:p>
    <w:p w14:paraId="4D3423E0">
      <w:pPr>
        <w:widowControl/>
        <w:ind w:firstLine="64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年底，本部门（单位）人员编制</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人，其中事业编制</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人；实有人员</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人，其中事业</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人。单位管理的离退休人员</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人。</w:t>
      </w:r>
    </w:p>
    <w:p w14:paraId="1BE3A998">
      <w:pPr>
        <w:rPr>
          <w:rFonts w:hint="eastAsia" w:ascii="方正小标宋简体" w:hAnsi="方正小标宋简体" w:eastAsia="方正小标宋简体" w:cs="方正小标宋简体"/>
          <w:color w:val="000000"/>
          <w:kern w:val="0"/>
          <w:sz w:val="44"/>
          <w:szCs w:val="44"/>
        </w:rPr>
      </w:pPr>
      <w:r>
        <w:drawing>
          <wp:inline distT="0" distB="0" distL="114300" distR="114300">
            <wp:extent cx="4533900" cy="2876550"/>
            <wp:effectExtent l="4445" t="4445" r="14605" b="14605"/>
            <wp:docPr id="7" name="图片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4561B1C">
      <w:pPr>
        <w:spacing w:line="560" w:lineRule="exact"/>
        <w:jc w:val="center"/>
        <w:rPr>
          <w:rFonts w:hint="eastAsia" w:ascii="方正小标宋简体" w:hAnsi="方正小标宋简体" w:eastAsia="方正小标宋简体" w:cs="方正小标宋简体"/>
          <w:color w:val="000000"/>
          <w:kern w:val="0"/>
          <w:sz w:val="44"/>
          <w:szCs w:val="44"/>
        </w:rPr>
      </w:pPr>
    </w:p>
    <w:p w14:paraId="7BAB34F2">
      <w:pPr>
        <w:spacing w:line="560" w:lineRule="exact"/>
        <w:jc w:val="center"/>
        <w:rPr>
          <w:rFonts w:hint="eastAsia" w:ascii="方正小标宋简体" w:hAnsi="方正小标宋简体" w:eastAsia="方正小标宋简体" w:cs="方正小标宋简体"/>
          <w:color w:val="000000"/>
          <w:kern w:val="0"/>
          <w:sz w:val="44"/>
          <w:szCs w:val="44"/>
        </w:rPr>
      </w:pPr>
    </w:p>
    <w:p w14:paraId="25C23C03">
      <w:pPr>
        <w:spacing w:line="560" w:lineRule="exact"/>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 xml:space="preserve">第二部分 </w:t>
      </w:r>
      <w:r>
        <w:rPr>
          <w:rFonts w:hint="eastAsia" w:ascii="方正小标宋简体" w:hAnsi="方正小标宋简体" w:eastAsia="方正小标宋简体" w:cs="方正小标宋简体"/>
          <w:color w:val="000000"/>
          <w:kern w:val="0"/>
          <w:sz w:val="44"/>
          <w:szCs w:val="44"/>
          <w:lang w:eastAsia="zh-CN"/>
        </w:rPr>
        <w:t>2024</w:t>
      </w:r>
      <w:r>
        <w:rPr>
          <w:rFonts w:hint="eastAsia" w:ascii="方正小标宋简体" w:hAnsi="方正小标宋简体" w:eastAsia="方正小标宋简体" w:cs="方正小标宋简体"/>
          <w:color w:val="000000"/>
          <w:kern w:val="0"/>
          <w:sz w:val="44"/>
          <w:szCs w:val="44"/>
        </w:rPr>
        <w:t>年度部门决算情况说明</w:t>
      </w:r>
    </w:p>
    <w:p w14:paraId="6035BE52">
      <w:pPr>
        <w:widowControl/>
        <w:spacing w:line="560" w:lineRule="exact"/>
        <w:ind w:firstLine="640" w:firstLineChars="200"/>
        <w:jc w:val="left"/>
        <w:rPr>
          <w:rFonts w:hint="eastAsia" w:ascii="黑体" w:hAnsi="黑体" w:eastAsia="黑体"/>
          <w:color w:val="000000"/>
          <w:kern w:val="0"/>
          <w:sz w:val="32"/>
          <w:szCs w:val="32"/>
        </w:rPr>
      </w:pPr>
    </w:p>
    <w:p w14:paraId="5E2DFA2C">
      <w:pPr>
        <w:widowControl/>
        <w:spacing w:line="560" w:lineRule="exact"/>
        <w:ind w:firstLine="640" w:firstLineChars="200"/>
        <w:jc w:val="left"/>
        <w:rPr>
          <w:rFonts w:hint="eastAsia" w:ascii="楷体" w:hAnsi="楷体" w:eastAsia="楷体" w:cs="楷体"/>
          <w:iCs/>
          <w:color w:val="0000FF"/>
          <w:kern w:val="0"/>
          <w:sz w:val="32"/>
          <w:szCs w:val="32"/>
          <w:highlight w:val="cyan"/>
        </w:rPr>
      </w:pPr>
      <w:r>
        <w:rPr>
          <w:rFonts w:hint="eastAsia" w:ascii="黑体" w:hAnsi="黑体" w:eastAsia="黑体"/>
          <w:color w:val="000000"/>
          <w:kern w:val="0"/>
          <w:sz w:val="32"/>
          <w:szCs w:val="32"/>
        </w:rPr>
        <w:t xml:space="preserve">一、收入支出决算总体情况说明 </w:t>
      </w:r>
    </w:p>
    <w:p w14:paraId="2B844816">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sz w:val="32"/>
          <w:szCs w:val="32"/>
          <w:highlight w:val="yellow"/>
        </w:rPr>
      </w:pPr>
      <w:r>
        <w:rPr>
          <w:rFonts w:hint="eastAsia" w:ascii="仿宋_GB2312" w:hAnsi="仿宋" w:eastAsia="仿宋_GB2312"/>
          <w:sz w:val="32"/>
          <w:szCs w:val="32"/>
          <w:lang w:eastAsia="zh-CN"/>
        </w:rPr>
        <w:t>2024</w:t>
      </w:r>
      <w:r>
        <w:rPr>
          <w:rFonts w:hint="eastAsia" w:ascii="仿宋_GB2312" w:hAnsi="仿宋" w:eastAsia="仿宋_GB2312"/>
          <w:sz w:val="32"/>
          <w:szCs w:val="32"/>
        </w:rPr>
        <w:t>年度收入总计、支出总计均为</w:t>
      </w:r>
      <w:r>
        <w:rPr>
          <w:rFonts w:hint="eastAsia" w:ascii="仿宋_GB2312" w:hAnsi="宋体" w:eastAsia="仿宋_GB2312" w:cs="仿宋_GB2312"/>
          <w:color w:val="000000"/>
          <w:kern w:val="0"/>
          <w:sz w:val="32"/>
          <w:szCs w:val="32"/>
          <w:lang w:val="en-US" w:eastAsia="zh-CN"/>
        </w:rPr>
        <w:t>376.81</w:t>
      </w:r>
      <w:r>
        <w:rPr>
          <w:rFonts w:ascii="仿宋_GB2312" w:hAnsi="宋体" w:eastAsia="仿宋_GB2312" w:cs="仿宋_GB2312"/>
          <w:color w:val="000000"/>
          <w:kern w:val="0"/>
          <w:sz w:val="32"/>
          <w:szCs w:val="32"/>
        </w:rPr>
        <w:t>万元，</w:t>
      </w:r>
      <w:r>
        <w:rPr>
          <w:rFonts w:hint="eastAsia" w:ascii="仿宋_GB2312" w:hAnsi="宋体" w:eastAsia="仿宋_GB2312" w:cs="仿宋_GB2312"/>
          <w:color w:val="000000"/>
          <w:kern w:val="0"/>
          <w:sz w:val="32"/>
          <w:szCs w:val="32"/>
        </w:rPr>
        <w:t>与</w:t>
      </w:r>
      <w:r>
        <w:rPr>
          <w:rFonts w:hint="eastAsia" w:ascii="仿宋_GB2312" w:hAnsi="仿宋" w:eastAsia="仿宋_GB2312"/>
          <w:sz w:val="32"/>
          <w:szCs w:val="32"/>
        </w:rPr>
        <w:t>上年相比收入总计、支出总计</w:t>
      </w:r>
      <w:r>
        <w:rPr>
          <w:rFonts w:hint="eastAsia" w:ascii="仿宋_GB2312" w:hAnsi="仿宋" w:eastAsia="仿宋_GB2312"/>
          <w:sz w:val="32"/>
          <w:szCs w:val="32"/>
          <w:lang w:val="en-US" w:eastAsia="zh-CN"/>
        </w:rPr>
        <w:t>增加107.45</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39.89</w:t>
      </w:r>
      <w:r>
        <w:rPr>
          <w:rFonts w:hint="eastAsia" w:ascii="仿宋_GB2312" w:hAnsi="仿宋" w:eastAsia="仿宋_GB2312"/>
          <w:sz w:val="32"/>
          <w:szCs w:val="32"/>
        </w:rPr>
        <w:t>%。主要</w:t>
      </w:r>
      <w:r>
        <w:rPr>
          <w:rFonts w:hint="eastAsia" w:ascii="仿宋_GB2312" w:hAnsi="宋体" w:eastAsia="仿宋_GB2312" w:cs="仿宋_GB2312"/>
          <w:color w:val="000000"/>
          <w:kern w:val="0"/>
          <w:sz w:val="32"/>
          <w:szCs w:val="32"/>
          <w:highlight w:val="none"/>
        </w:rPr>
        <w:t>是</w:t>
      </w:r>
      <w:r>
        <w:rPr>
          <w:rFonts w:hint="eastAsia" w:ascii="仿宋_GB2312" w:hAnsi="仿宋_GB2312" w:eastAsia="仿宋_GB2312" w:cs="仿宋_GB2312"/>
          <w:sz w:val="32"/>
          <w:szCs w:val="32"/>
          <w:highlight w:val="none"/>
          <w:lang w:val="en-US" w:eastAsia="zh-CN"/>
        </w:rPr>
        <w:t>新增新冠病毒防控亚定点医院项目农民工工资预算收支170万元，及人员调动，经费支出减少</w:t>
      </w:r>
      <w:r>
        <w:rPr>
          <w:rFonts w:hint="eastAsia" w:ascii="仿宋_GB2312" w:hAnsi="仿宋" w:eastAsia="仿宋_GB2312"/>
          <w:sz w:val="32"/>
          <w:szCs w:val="32"/>
        </w:rPr>
        <w:t>。</w:t>
      </w:r>
    </w:p>
    <w:p w14:paraId="1A64FA5A">
      <w:pPr>
        <w:widowControl/>
        <w:spacing w:line="560" w:lineRule="exact"/>
        <w:jc w:val="left"/>
        <w:rPr>
          <w:rFonts w:hint="eastAsia" w:ascii="楷体" w:hAnsi="楷体" w:eastAsia="楷体" w:cs="楷体"/>
          <w:iCs/>
          <w:color w:val="0000FF"/>
          <w:kern w:val="0"/>
          <w:sz w:val="32"/>
          <w:szCs w:val="32"/>
          <w:highlight w:val="cyan"/>
        </w:rPr>
      </w:pPr>
    </w:p>
    <w:p w14:paraId="0F53F1D8">
      <w:pPr>
        <w:widowControl/>
        <w:spacing w:line="560" w:lineRule="exact"/>
        <w:ind w:firstLine="420" w:firstLineChars="200"/>
        <w:jc w:val="left"/>
        <w:rPr>
          <w:rFonts w:hint="eastAsia" w:ascii="楷体" w:hAnsi="楷体" w:eastAsia="楷体" w:cs="楷体"/>
          <w:iCs/>
          <w:color w:val="0000FF"/>
          <w:kern w:val="0"/>
          <w:sz w:val="32"/>
          <w:szCs w:val="32"/>
          <w:highlight w:val="cyan"/>
        </w:rPr>
      </w:pPr>
      <w:r>
        <w:drawing>
          <wp:anchor distT="0" distB="0" distL="114300" distR="114300" simplePos="0" relativeHeight="251659264" behindDoc="0" locked="0" layoutInCell="1" allowOverlap="1">
            <wp:simplePos x="0" y="0"/>
            <wp:positionH relativeFrom="column">
              <wp:posOffset>368300</wp:posOffset>
            </wp:positionH>
            <wp:positionV relativeFrom="paragraph">
              <wp:posOffset>60960</wp:posOffset>
            </wp:positionV>
            <wp:extent cx="4375785" cy="2767965"/>
            <wp:effectExtent l="4445" t="4445" r="20320" b="8890"/>
            <wp:wrapSquare wrapText="bothSides"/>
            <wp:docPr id="1" name="图片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44B0779C">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2535A105">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5410D7CF">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1EF0373F">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6E3BA9B7">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0FA145B2">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3FECB971">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rPr>
      </w:pPr>
    </w:p>
    <w:p w14:paraId="4BD836B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rPr>
      </w:pPr>
    </w:p>
    <w:p w14:paraId="74514141">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 w:hAnsi="楷体" w:eastAsia="楷体" w:cs="楷体"/>
          <w:iCs/>
          <w:color w:val="0000FF"/>
          <w:kern w:val="0"/>
          <w:sz w:val="32"/>
          <w:szCs w:val="32"/>
          <w:highlight w:val="cyan"/>
        </w:rPr>
      </w:pPr>
      <w:r>
        <w:rPr>
          <w:rFonts w:hint="eastAsia" w:ascii="黑体" w:hAnsi="黑体" w:eastAsia="黑体"/>
          <w:color w:val="000000"/>
          <w:kern w:val="0"/>
          <w:sz w:val="32"/>
          <w:szCs w:val="32"/>
        </w:rPr>
        <w:t>二、收入决算情况说明</w:t>
      </w:r>
    </w:p>
    <w:p w14:paraId="5270405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eastAsia="zh-CN"/>
        </w:rPr>
        <w:t>2024</w:t>
      </w:r>
      <w:r>
        <w:rPr>
          <w:rFonts w:ascii="仿宋_GB2312" w:hAnsi="宋体" w:eastAsia="仿宋_GB2312" w:cs="仿宋_GB2312"/>
          <w:color w:val="000000"/>
          <w:kern w:val="0"/>
          <w:sz w:val="32"/>
          <w:szCs w:val="32"/>
        </w:rPr>
        <w:t>年</w:t>
      </w:r>
      <w:r>
        <w:rPr>
          <w:rFonts w:hint="eastAsia" w:ascii="仿宋_GB2312" w:hAnsi="宋体" w:eastAsia="仿宋_GB2312" w:cs="仿宋_GB2312"/>
          <w:color w:val="000000"/>
          <w:kern w:val="0"/>
          <w:sz w:val="32"/>
          <w:szCs w:val="32"/>
        </w:rPr>
        <w:t>度本年</w:t>
      </w:r>
      <w:r>
        <w:rPr>
          <w:rFonts w:ascii="仿宋_GB2312" w:hAnsi="宋体" w:eastAsia="仿宋_GB2312" w:cs="仿宋_GB2312"/>
          <w:color w:val="000000"/>
          <w:kern w:val="0"/>
          <w:sz w:val="32"/>
          <w:szCs w:val="32"/>
        </w:rPr>
        <w:t>收入合计</w:t>
      </w:r>
      <w:r>
        <w:rPr>
          <w:rFonts w:hint="eastAsia" w:ascii="仿宋_GB2312" w:hAnsi="宋体" w:eastAsia="仿宋_GB2312" w:cs="仿宋_GB2312"/>
          <w:color w:val="000000"/>
          <w:kern w:val="0"/>
          <w:sz w:val="32"/>
          <w:szCs w:val="32"/>
          <w:lang w:val="en-US" w:eastAsia="zh-CN"/>
        </w:rPr>
        <w:t>376.81</w:t>
      </w:r>
      <w:r>
        <w:rPr>
          <w:rFonts w:ascii="仿宋_GB2312" w:hAnsi="宋体" w:eastAsia="仿宋_GB2312" w:cs="仿宋_GB2312"/>
          <w:color w:val="000000"/>
          <w:kern w:val="0"/>
          <w:sz w:val="32"/>
          <w:szCs w:val="32"/>
        </w:rPr>
        <w:t>万元，其中：财政拨款收入</w:t>
      </w:r>
      <w:r>
        <w:rPr>
          <w:rFonts w:hint="eastAsia" w:ascii="仿宋_GB2312" w:hAnsi="宋体" w:eastAsia="仿宋_GB2312" w:cs="仿宋_GB2312"/>
          <w:color w:val="000000"/>
          <w:kern w:val="0"/>
          <w:sz w:val="32"/>
          <w:szCs w:val="32"/>
          <w:lang w:val="en-US" w:eastAsia="zh-CN"/>
        </w:rPr>
        <w:t>376.81</w:t>
      </w:r>
      <w:r>
        <w:rPr>
          <w:rFonts w:ascii="仿宋_GB2312" w:hAnsi="宋体" w:eastAsia="仿宋_GB2312" w:cs="仿宋_GB2312"/>
          <w:color w:val="000000"/>
          <w:kern w:val="0"/>
          <w:sz w:val="32"/>
          <w:szCs w:val="32"/>
        </w:rPr>
        <w:t>万元，占</w:t>
      </w:r>
      <w:r>
        <w:rPr>
          <w:rFonts w:hint="eastAsia" w:ascii="仿宋_GB2312" w:hAnsi="宋体" w:eastAsia="仿宋_GB2312" w:cs="仿宋_GB2312"/>
          <w:color w:val="000000"/>
          <w:kern w:val="0"/>
          <w:sz w:val="32"/>
          <w:szCs w:val="32"/>
          <w:lang w:val="en-US" w:eastAsia="zh-CN"/>
        </w:rPr>
        <w:t>100</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lang w:eastAsia="zh-CN"/>
        </w:rPr>
        <w:t>，</w:t>
      </w:r>
      <w:r>
        <w:rPr>
          <w:rFonts w:ascii="仿宋_GB2312" w:hAnsi="宋体" w:eastAsia="仿宋_GB2312" w:cs="仿宋_GB2312"/>
          <w:color w:val="000000"/>
          <w:kern w:val="0"/>
          <w:sz w:val="32"/>
          <w:szCs w:val="32"/>
        </w:rPr>
        <w:t>事业收入</w:t>
      </w:r>
      <w:r>
        <w:rPr>
          <w:rFonts w:hint="eastAsia" w:ascii="仿宋_GB2312" w:hAnsi="宋体" w:eastAsia="仿宋_GB2312" w:cs="仿宋_GB2312"/>
          <w:color w:val="000000"/>
          <w:kern w:val="0"/>
          <w:sz w:val="32"/>
          <w:szCs w:val="32"/>
          <w:lang w:val="en-US" w:eastAsia="zh-CN"/>
        </w:rPr>
        <w:t>0</w:t>
      </w:r>
      <w:r>
        <w:rPr>
          <w:rFonts w:ascii="仿宋_GB2312" w:hAnsi="宋体" w:eastAsia="仿宋_GB2312" w:cs="仿宋_GB2312"/>
          <w:color w:val="000000"/>
          <w:kern w:val="0"/>
          <w:sz w:val="32"/>
          <w:szCs w:val="32"/>
        </w:rPr>
        <w:t>万元，占</w:t>
      </w:r>
      <w:r>
        <w:rPr>
          <w:rFonts w:hint="eastAsia" w:ascii="仿宋_GB2312" w:hAnsi="宋体" w:eastAsia="仿宋_GB2312" w:cs="仿宋_GB2312"/>
          <w:color w:val="000000"/>
          <w:kern w:val="0"/>
          <w:sz w:val="32"/>
          <w:szCs w:val="32"/>
          <w:lang w:val="en-US" w:eastAsia="zh-CN"/>
        </w:rPr>
        <w:t>0</w:t>
      </w:r>
      <w:r>
        <w:rPr>
          <w:rFonts w:ascii="仿宋_GB2312" w:hAnsi="宋体" w:eastAsia="仿宋_GB2312" w:cs="仿宋_GB2312"/>
          <w:color w:val="000000"/>
          <w:kern w:val="0"/>
          <w:sz w:val="32"/>
          <w:szCs w:val="32"/>
        </w:rPr>
        <w:t>%；经营收入</w:t>
      </w:r>
      <w:r>
        <w:rPr>
          <w:rFonts w:hint="eastAsia" w:ascii="仿宋_GB2312" w:hAnsi="宋体" w:eastAsia="仿宋_GB2312" w:cs="仿宋_GB2312"/>
          <w:color w:val="000000"/>
          <w:kern w:val="0"/>
          <w:sz w:val="32"/>
          <w:szCs w:val="32"/>
          <w:lang w:val="en-US" w:eastAsia="zh-CN"/>
        </w:rPr>
        <w:t>0</w:t>
      </w:r>
      <w:r>
        <w:rPr>
          <w:rFonts w:ascii="仿宋_GB2312" w:hAnsi="宋体" w:eastAsia="仿宋_GB2312" w:cs="仿宋_GB2312"/>
          <w:color w:val="000000"/>
          <w:kern w:val="0"/>
          <w:sz w:val="32"/>
          <w:szCs w:val="32"/>
        </w:rPr>
        <w:t>万元，占</w:t>
      </w:r>
      <w:r>
        <w:rPr>
          <w:rFonts w:hint="eastAsia" w:ascii="仿宋_GB2312" w:hAnsi="宋体" w:eastAsia="仿宋_GB2312" w:cs="仿宋_GB2312"/>
          <w:color w:val="000000"/>
          <w:kern w:val="0"/>
          <w:sz w:val="32"/>
          <w:szCs w:val="32"/>
          <w:lang w:val="en-US" w:eastAsia="zh-CN"/>
        </w:rPr>
        <w:t>0</w:t>
      </w:r>
      <w:r>
        <w:rPr>
          <w:rFonts w:ascii="仿宋_GB2312" w:hAnsi="宋体" w:eastAsia="仿宋_GB2312" w:cs="仿宋_GB2312"/>
          <w:color w:val="000000"/>
          <w:kern w:val="0"/>
          <w:sz w:val="32"/>
          <w:szCs w:val="32"/>
        </w:rPr>
        <w:t>%；其他收入</w:t>
      </w:r>
      <w:r>
        <w:rPr>
          <w:rFonts w:hint="eastAsia" w:ascii="仿宋_GB2312" w:hAnsi="宋体" w:eastAsia="仿宋_GB2312" w:cs="仿宋_GB2312"/>
          <w:color w:val="000000"/>
          <w:kern w:val="0"/>
          <w:sz w:val="32"/>
          <w:szCs w:val="32"/>
          <w:lang w:val="en-US" w:eastAsia="zh-CN"/>
        </w:rPr>
        <w:t>0</w:t>
      </w:r>
      <w:r>
        <w:rPr>
          <w:rFonts w:ascii="仿宋_GB2312" w:hAnsi="宋体" w:eastAsia="仿宋_GB2312" w:cs="仿宋_GB2312"/>
          <w:color w:val="000000"/>
          <w:kern w:val="0"/>
          <w:sz w:val="32"/>
          <w:szCs w:val="32"/>
        </w:rPr>
        <w:t>万元，占</w:t>
      </w:r>
      <w:r>
        <w:rPr>
          <w:rFonts w:hint="eastAsia" w:ascii="仿宋_GB2312" w:hAnsi="宋体" w:eastAsia="仿宋_GB2312" w:cs="仿宋_GB2312"/>
          <w:color w:val="000000"/>
          <w:kern w:val="0"/>
          <w:sz w:val="32"/>
          <w:szCs w:val="32"/>
          <w:lang w:val="en-US" w:eastAsia="zh-CN"/>
        </w:rPr>
        <w:t>0</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w:t>
      </w:r>
    </w:p>
    <w:p w14:paraId="46DD4A06">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仿宋_GB2312"/>
          <w:color w:val="000000"/>
          <w:kern w:val="0"/>
          <w:sz w:val="32"/>
          <w:szCs w:val="32"/>
        </w:rPr>
      </w:pPr>
    </w:p>
    <w:p w14:paraId="75A907C7">
      <w:pPr>
        <w:widowControl/>
        <w:spacing w:line="560" w:lineRule="exact"/>
        <w:ind w:firstLine="420" w:firstLineChars="200"/>
        <w:jc w:val="left"/>
        <w:rPr>
          <w:rFonts w:hint="eastAsia" w:ascii="仿宋" w:hAnsi="仿宋" w:eastAsia="仿宋" w:cs="仿宋"/>
          <w:color w:val="0000FF"/>
          <w:sz w:val="32"/>
          <w:szCs w:val="32"/>
          <w:highlight w:val="cyan"/>
        </w:rPr>
      </w:pPr>
      <w:r>
        <w:drawing>
          <wp:anchor distT="0" distB="0" distL="114300" distR="114300" simplePos="0" relativeHeight="251660288" behindDoc="0" locked="0" layoutInCell="1" allowOverlap="1">
            <wp:simplePos x="0" y="0"/>
            <wp:positionH relativeFrom="column">
              <wp:posOffset>366395</wp:posOffset>
            </wp:positionH>
            <wp:positionV relativeFrom="paragraph">
              <wp:posOffset>87630</wp:posOffset>
            </wp:positionV>
            <wp:extent cx="4391660" cy="2514600"/>
            <wp:effectExtent l="4445" t="5080" r="23495" b="13970"/>
            <wp:wrapSquare wrapText="bothSides"/>
            <wp:docPr id="2" name="图片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DB6F7A3">
      <w:pPr>
        <w:widowControl/>
        <w:spacing w:line="560" w:lineRule="exact"/>
        <w:ind w:firstLine="640" w:firstLineChars="200"/>
        <w:jc w:val="left"/>
        <w:rPr>
          <w:rFonts w:hint="eastAsia" w:ascii="仿宋" w:hAnsi="仿宋" w:eastAsia="仿宋" w:cs="仿宋"/>
          <w:color w:val="0000FF"/>
          <w:sz w:val="32"/>
          <w:szCs w:val="32"/>
          <w:highlight w:val="cyan"/>
        </w:rPr>
      </w:pPr>
    </w:p>
    <w:p w14:paraId="0C3A7E6D">
      <w:pPr>
        <w:widowControl/>
        <w:spacing w:line="560" w:lineRule="exact"/>
        <w:ind w:firstLine="640" w:firstLineChars="200"/>
        <w:jc w:val="left"/>
        <w:rPr>
          <w:rFonts w:hint="eastAsia" w:ascii="仿宋" w:hAnsi="仿宋" w:eastAsia="仿宋" w:cs="仿宋"/>
          <w:color w:val="0000FF"/>
          <w:sz w:val="32"/>
          <w:szCs w:val="32"/>
          <w:highlight w:val="cyan"/>
        </w:rPr>
      </w:pPr>
    </w:p>
    <w:p w14:paraId="214B536C">
      <w:pPr>
        <w:widowControl/>
        <w:spacing w:line="560" w:lineRule="exact"/>
        <w:ind w:firstLine="640" w:firstLineChars="200"/>
        <w:jc w:val="left"/>
        <w:rPr>
          <w:rFonts w:hint="eastAsia" w:ascii="仿宋" w:hAnsi="仿宋" w:eastAsia="仿宋" w:cs="仿宋"/>
          <w:color w:val="0000FF"/>
          <w:sz w:val="32"/>
          <w:szCs w:val="32"/>
          <w:highlight w:val="cyan"/>
        </w:rPr>
      </w:pPr>
    </w:p>
    <w:p w14:paraId="014F2BB4">
      <w:pPr>
        <w:widowControl/>
        <w:spacing w:line="560" w:lineRule="exact"/>
        <w:ind w:firstLine="640" w:firstLineChars="200"/>
        <w:jc w:val="left"/>
        <w:rPr>
          <w:rFonts w:hint="eastAsia" w:ascii="仿宋" w:hAnsi="仿宋" w:eastAsia="仿宋" w:cs="仿宋"/>
          <w:color w:val="0000FF"/>
          <w:sz w:val="32"/>
          <w:szCs w:val="32"/>
          <w:highlight w:val="cyan"/>
        </w:rPr>
      </w:pPr>
    </w:p>
    <w:p w14:paraId="12946A6B">
      <w:pPr>
        <w:widowControl/>
        <w:spacing w:line="560" w:lineRule="exact"/>
        <w:ind w:firstLine="640" w:firstLineChars="200"/>
        <w:jc w:val="left"/>
        <w:rPr>
          <w:rFonts w:hint="eastAsia" w:ascii="仿宋" w:hAnsi="仿宋" w:eastAsia="仿宋" w:cs="仿宋"/>
          <w:color w:val="0000FF"/>
          <w:sz w:val="32"/>
          <w:szCs w:val="32"/>
          <w:highlight w:val="cyan"/>
        </w:rPr>
      </w:pPr>
    </w:p>
    <w:p w14:paraId="4E8B1FF2">
      <w:pPr>
        <w:widowControl/>
        <w:spacing w:line="560" w:lineRule="exact"/>
        <w:ind w:firstLine="640" w:firstLineChars="200"/>
        <w:jc w:val="left"/>
        <w:rPr>
          <w:rFonts w:hint="eastAsia" w:ascii="黑体" w:hAnsi="黑体" w:eastAsia="黑体"/>
          <w:color w:val="000000"/>
          <w:kern w:val="0"/>
          <w:sz w:val="32"/>
          <w:szCs w:val="32"/>
        </w:rPr>
      </w:pPr>
    </w:p>
    <w:p w14:paraId="6989D31B">
      <w:pPr>
        <w:widowControl/>
        <w:spacing w:line="560" w:lineRule="exact"/>
        <w:ind w:firstLine="640" w:firstLineChars="200"/>
        <w:jc w:val="left"/>
        <w:rPr>
          <w:rFonts w:hint="eastAsia" w:ascii="黑体" w:hAnsi="黑体" w:eastAsia="黑体"/>
          <w:color w:val="000000"/>
          <w:kern w:val="0"/>
          <w:sz w:val="32"/>
          <w:szCs w:val="32"/>
        </w:rPr>
      </w:pPr>
    </w:p>
    <w:p w14:paraId="5A159743">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rPr>
      </w:pPr>
    </w:p>
    <w:p w14:paraId="2ED48478">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rPr>
      </w:pPr>
    </w:p>
    <w:p w14:paraId="5D602B98">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rPr>
      </w:pPr>
    </w:p>
    <w:p w14:paraId="6B2AEFC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 w:hAnsi="楷体" w:eastAsia="楷体" w:cs="楷体"/>
          <w:iCs/>
          <w:color w:val="0000FF"/>
          <w:kern w:val="0"/>
          <w:sz w:val="32"/>
          <w:szCs w:val="32"/>
          <w:highlight w:val="cyan"/>
        </w:rPr>
      </w:pPr>
      <w:r>
        <w:rPr>
          <w:rFonts w:hint="eastAsia" w:ascii="黑体" w:hAnsi="黑体" w:eastAsia="黑体"/>
          <w:color w:val="000000"/>
          <w:kern w:val="0"/>
          <w:sz w:val="32"/>
          <w:szCs w:val="32"/>
        </w:rPr>
        <w:t xml:space="preserve">三、支出决算情况说明  </w:t>
      </w:r>
    </w:p>
    <w:p w14:paraId="07B395F2">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eastAsia="zh-CN"/>
        </w:rPr>
        <w:t>2024</w:t>
      </w:r>
      <w:r>
        <w:rPr>
          <w:rFonts w:hint="eastAsia" w:ascii="仿宋_GB2312" w:hAnsi="仿宋" w:eastAsia="仿宋_GB2312"/>
          <w:sz w:val="32"/>
          <w:szCs w:val="32"/>
        </w:rPr>
        <w:t>年度本年支出合计</w:t>
      </w:r>
      <w:r>
        <w:rPr>
          <w:rFonts w:hint="eastAsia" w:ascii="仿宋_GB2312" w:hAnsi="宋体" w:eastAsia="仿宋_GB2312" w:cs="仿宋_GB2312"/>
          <w:color w:val="000000"/>
          <w:kern w:val="0"/>
          <w:sz w:val="32"/>
          <w:szCs w:val="32"/>
          <w:lang w:val="en-US" w:eastAsia="zh-CN"/>
        </w:rPr>
        <w:t>376.81</w:t>
      </w:r>
      <w:r>
        <w:rPr>
          <w:rFonts w:ascii="仿宋_GB2312" w:hAnsi="宋体" w:eastAsia="仿宋_GB2312" w:cs="仿宋_GB2312"/>
          <w:color w:val="000000"/>
          <w:kern w:val="0"/>
          <w:sz w:val="32"/>
          <w:szCs w:val="32"/>
        </w:rPr>
        <w:t>万元，其中：基本支出</w:t>
      </w:r>
      <w:r>
        <w:rPr>
          <w:rFonts w:hint="eastAsia" w:ascii="仿宋_GB2312" w:hAnsi="宋体" w:eastAsia="仿宋_GB2312" w:cs="仿宋_GB2312"/>
          <w:color w:val="000000"/>
          <w:kern w:val="0"/>
          <w:sz w:val="32"/>
          <w:szCs w:val="32"/>
          <w:lang w:val="en-US" w:eastAsia="zh-CN"/>
        </w:rPr>
        <w:t>179.11</w:t>
      </w:r>
      <w:r>
        <w:rPr>
          <w:rFonts w:ascii="仿宋_GB2312" w:hAnsi="宋体" w:eastAsia="仿宋_GB2312" w:cs="仿宋_GB2312"/>
          <w:color w:val="000000"/>
          <w:kern w:val="0"/>
          <w:sz w:val="32"/>
          <w:szCs w:val="32"/>
        </w:rPr>
        <w:t>万元，占</w:t>
      </w:r>
      <w:r>
        <w:rPr>
          <w:rFonts w:hint="eastAsia" w:ascii="仿宋_GB2312" w:hAnsi="宋体" w:eastAsia="仿宋_GB2312" w:cs="仿宋_GB2312"/>
          <w:color w:val="000000"/>
          <w:kern w:val="0"/>
          <w:sz w:val="32"/>
          <w:szCs w:val="32"/>
          <w:lang w:val="en-US" w:eastAsia="zh-CN"/>
        </w:rPr>
        <w:t>47.53</w:t>
      </w:r>
      <w:r>
        <w:rPr>
          <w:rFonts w:ascii="仿宋_GB2312" w:hAnsi="宋体" w:eastAsia="仿宋_GB2312" w:cs="仿宋_GB2312"/>
          <w:color w:val="000000"/>
          <w:kern w:val="0"/>
          <w:sz w:val="32"/>
          <w:szCs w:val="32"/>
        </w:rPr>
        <w:t>%；项目支出</w:t>
      </w:r>
      <w:r>
        <w:rPr>
          <w:rFonts w:hint="eastAsia" w:ascii="仿宋_GB2312" w:hAnsi="宋体" w:eastAsia="仿宋_GB2312" w:cs="仿宋_GB2312"/>
          <w:color w:val="000000"/>
          <w:kern w:val="0"/>
          <w:sz w:val="32"/>
          <w:szCs w:val="32"/>
          <w:lang w:val="en-US" w:eastAsia="zh-CN"/>
        </w:rPr>
        <w:t>197.7</w:t>
      </w:r>
      <w:r>
        <w:rPr>
          <w:rFonts w:ascii="仿宋_GB2312" w:hAnsi="宋体" w:eastAsia="仿宋_GB2312" w:cs="仿宋_GB2312"/>
          <w:color w:val="000000"/>
          <w:kern w:val="0"/>
          <w:sz w:val="32"/>
          <w:szCs w:val="32"/>
        </w:rPr>
        <w:t>万元，占</w:t>
      </w:r>
      <w:r>
        <w:rPr>
          <w:rFonts w:hint="eastAsia" w:ascii="仿宋_GB2312" w:hAnsi="宋体" w:eastAsia="仿宋_GB2312" w:cs="仿宋_GB2312"/>
          <w:color w:val="000000"/>
          <w:kern w:val="0"/>
          <w:sz w:val="32"/>
          <w:szCs w:val="32"/>
          <w:lang w:val="en-US" w:eastAsia="zh-CN"/>
        </w:rPr>
        <w:t>52.47</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lang w:eastAsia="zh-CN"/>
        </w:rPr>
        <w:t>，</w:t>
      </w:r>
      <w:r>
        <w:rPr>
          <w:rFonts w:ascii="仿宋_GB2312" w:hAnsi="宋体" w:eastAsia="仿宋_GB2312" w:cs="仿宋_GB2312"/>
          <w:color w:val="000000"/>
          <w:kern w:val="0"/>
          <w:sz w:val="32"/>
          <w:szCs w:val="32"/>
        </w:rPr>
        <w:t>经营支出</w:t>
      </w:r>
      <w:r>
        <w:rPr>
          <w:rFonts w:hint="eastAsia" w:ascii="仿宋_GB2312" w:hAnsi="宋体" w:eastAsia="仿宋_GB2312" w:cs="仿宋_GB2312"/>
          <w:color w:val="000000"/>
          <w:kern w:val="0"/>
          <w:sz w:val="32"/>
          <w:szCs w:val="32"/>
          <w:lang w:val="en-US" w:eastAsia="zh-CN"/>
        </w:rPr>
        <w:t>0</w:t>
      </w:r>
      <w:r>
        <w:rPr>
          <w:rFonts w:ascii="仿宋_GB2312" w:hAnsi="宋体" w:eastAsia="仿宋_GB2312" w:cs="仿宋_GB2312"/>
          <w:color w:val="000000"/>
          <w:kern w:val="0"/>
          <w:sz w:val="32"/>
          <w:szCs w:val="32"/>
        </w:rPr>
        <w:t>万元，占</w:t>
      </w:r>
      <w:r>
        <w:rPr>
          <w:rFonts w:hint="eastAsia" w:ascii="仿宋_GB2312" w:hAnsi="宋体" w:eastAsia="仿宋_GB2312" w:cs="仿宋_GB2312"/>
          <w:color w:val="000000"/>
          <w:kern w:val="0"/>
          <w:sz w:val="32"/>
          <w:szCs w:val="32"/>
          <w:lang w:val="en-US" w:eastAsia="zh-CN"/>
        </w:rPr>
        <w:t>0</w:t>
      </w:r>
      <w:r>
        <w:rPr>
          <w:rFonts w:ascii="仿宋_GB2312" w:hAnsi="宋体" w:eastAsia="仿宋_GB2312" w:cs="仿宋_GB2312"/>
          <w:color w:val="000000"/>
          <w:kern w:val="0"/>
          <w:sz w:val="32"/>
          <w:szCs w:val="32"/>
        </w:rPr>
        <w:t>%。</w:t>
      </w:r>
    </w:p>
    <w:p w14:paraId="6C5B083C">
      <w:pPr>
        <w:widowControl/>
        <w:spacing w:line="560" w:lineRule="exact"/>
        <w:ind w:firstLine="640" w:firstLineChars="200"/>
        <w:jc w:val="left"/>
        <w:rPr>
          <w:rFonts w:ascii="仿宋_GB2312" w:hAnsi="宋体" w:eastAsia="仿宋_GB2312" w:cs="仿宋_GB2312"/>
          <w:color w:val="000000"/>
          <w:kern w:val="0"/>
          <w:sz w:val="32"/>
          <w:szCs w:val="32"/>
        </w:rPr>
      </w:pPr>
    </w:p>
    <w:p w14:paraId="5A8F926A">
      <w:pPr>
        <w:widowControl/>
        <w:spacing w:line="560" w:lineRule="exact"/>
        <w:ind w:firstLine="640" w:firstLineChars="200"/>
        <w:jc w:val="left"/>
        <w:rPr>
          <w:rFonts w:ascii="仿宋_GB2312" w:hAnsi="宋体" w:eastAsia="仿宋_GB2312" w:cs="仿宋_GB2312"/>
          <w:color w:val="000000"/>
          <w:kern w:val="0"/>
          <w:sz w:val="32"/>
          <w:szCs w:val="32"/>
        </w:rPr>
      </w:pPr>
    </w:p>
    <w:p w14:paraId="76979FE3">
      <w:pPr>
        <w:widowControl/>
        <w:spacing w:line="560" w:lineRule="exact"/>
        <w:ind w:firstLine="640" w:firstLineChars="200"/>
        <w:jc w:val="left"/>
        <w:rPr>
          <w:rFonts w:ascii="仿宋_GB2312" w:hAnsi="宋体" w:eastAsia="仿宋_GB2312" w:cs="仿宋_GB2312"/>
          <w:color w:val="000000"/>
          <w:kern w:val="0"/>
          <w:sz w:val="32"/>
          <w:szCs w:val="32"/>
        </w:rPr>
      </w:pPr>
    </w:p>
    <w:p w14:paraId="0A579F75">
      <w:pPr>
        <w:widowControl/>
        <w:spacing w:line="560" w:lineRule="exact"/>
        <w:ind w:firstLine="640" w:firstLineChars="200"/>
        <w:jc w:val="left"/>
        <w:rPr>
          <w:rFonts w:ascii="仿宋_GB2312" w:hAnsi="宋体" w:eastAsia="仿宋_GB2312" w:cs="仿宋_GB2312"/>
          <w:color w:val="000000"/>
          <w:kern w:val="0"/>
          <w:sz w:val="32"/>
          <w:szCs w:val="32"/>
        </w:rPr>
      </w:pPr>
    </w:p>
    <w:p w14:paraId="54537AF7">
      <w:pPr>
        <w:widowControl/>
        <w:spacing w:line="560" w:lineRule="exact"/>
        <w:ind w:firstLine="640" w:firstLineChars="200"/>
        <w:jc w:val="left"/>
        <w:rPr>
          <w:rFonts w:ascii="仿宋_GB2312" w:hAnsi="宋体" w:eastAsia="仿宋_GB2312" w:cs="仿宋_GB2312"/>
          <w:color w:val="000000"/>
          <w:kern w:val="0"/>
          <w:sz w:val="32"/>
          <w:szCs w:val="32"/>
        </w:rPr>
      </w:pPr>
    </w:p>
    <w:p w14:paraId="3CFF08CB">
      <w:pPr>
        <w:widowControl/>
        <w:spacing w:line="560" w:lineRule="exact"/>
        <w:ind w:firstLine="640" w:firstLineChars="200"/>
        <w:jc w:val="left"/>
        <w:rPr>
          <w:rFonts w:ascii="仿宋_GB2312" w:hAnsi="宋体" w:eastAsia="仿宋_GB2312" w:cs="仿宋_GB2312"/>
          <w:color w:val="000000"/>
          <w:kern w:val="0"/>
          <w:sz w:val="32"/>
          <w:szCs w:val="32"/>
        </w:rPr>
      </w:pPr>
    </w:p>
    <w:p w14:paraId="1E3D9876">
      <w:pPr>
        <w:widowControl/>
        <w:spacing w:line="560" w:lineRule="exact"/>
        <w:ind w:firstLine="640" w:firstLineChars="200"/>
        <w:jc w:val="left"/>
        <w:rPr>
          <w:rFonts w:ascii="仿宋_GB2312" w:hAnsi="宋体" w:eastAsia="仿宋_GB2312" w:cs="仿宋_GB2312"/>
          <w:color w:val="000000"/>
          <w:kern w:val="0"/>
          <w:sz w:val="32"/>
          <w:szCs w:val="32"/>
        </w:rPr>
      </w:pPr>
    </w:p>
    <w:p w14:paraId="5ED20D0D">
      <w:pPr>
        <w:widowControl/>
        <w:spacing w:line="560" w:lineRule="exact"/>
        <w:ind w:firstLine="420" w:firstLineChars="200"/>
        <w:jc w:val="left"/>
        <w:rPr>
          <w:rFonts w:ascii="仿宋_GB2312" w:hAnsi="宋体" w:eastAsia="仿宋_GB2312" w:cs="仿宋_GB2312"/>
          <w:color w:val="000000"/>
          <w:kern w:val="0"/>
          <w:sz w:val="32"/>
          <w:szCs w:val="32"/>
        </w:rPr>
      </w:pPr>
      <w:r>
        <w:drawing>
          <wp:anchor distT="0" distB="0" distL="114300" distR="114300" simplePos="0" relativeHeight="251661312" behindDoc="0" locked="0" layoutInCell="1" allowOverlap="1">
            <wp:simplePos x="0" y="0"/>
            <wp:positionH relativeFrom="column">
              <wp:posOffset>271145</wp:posOffset>
            </wp:positionH>
            <wp:positionV relativeFrom="paragraph">
              <wp:posOffset>-2244725</wp:posOffset>
            </wp:positionV>
            <wp:extent cx="4533900" cy="2514600"/>
            <wp:effectExtent l="4445" t="4445" r="14605" b="14605"/>
            <wp:wrapSquare wrapText="bothSides"/>
            <wp:docPr id="3" name="图片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DF32092">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rPr>
      </w:pPr>
    </w:p>
    <w:p w14:paraId="695F1DB7">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rPr>
      </w:pPr>
    </w:p>
    <w:p w14:paraId="2658CDC8">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黑体" w:hAnsi="黑体" w:eastAsia="黑体"/>
          <w:color w:val="000000"/>
          <w:kern w:val="0"/>
          <w:sz w:val="32"/>
          <w:szCs w:val="32"/>
        </w:rPr>
      </w:pPr>
      <w:r>
        <w:rPr>
          <w:rFonts w:hint="eastAsia" w:ascii="黑体" w:hAnsi="黑体" w:eastAsia="黑体"/>
          <w:color w:val="000000"/>
          <w:kern w:val="0"/>
          <w:sz w:val="32"/>
          <w:szCs w:val="32"/>
        </w:rPr>
        <w:t>四、财政拨款收入支出决算总体情况说明</w:t>
      </w:r>
    </w:p>
    <w:p w14:paraId="1436274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 w:eastAsia="仿宋_GB2312"/>
          <w:sz w:val="32"/>
          <w:szCs w:val="32"/>
          <w:highlight w:val="yellow"/>
        </w:rPr>
      </w:pPr>
      <w:r>
        <w:rPr>
          <w:rFonts w:hint="eastAsia" w:ascii="仿宋_GB2312" w:hAnsi="仿宋" w:eastAsia="仿宋_GB2312"/>
          <w:sz w:val="32"/>
          <w:szCs w:val="32"/>
          <w:highlight w:val="none"/>
          <w:lang w:eastAsia="zh-CN"/>
        </w:rPr>
        <w:t>2024</w:t>
      </w:r>
      <w:r>
        <w:rPr>
          <w:rFonts w:hint="eastAsia" w:ascii="仿宋_GB2312" w:hAnsi="仿宋" w:eastAsia="仿宋_GB2312"/>
          <w:sz w:val="32"/>
          <w:szCs w:val="32"/>
          <w:highlight w:val="none"/>
        </w:rPr>
        <w:t>年度</w:t>
      </w:r>
      <w:r>
        <w:rPr>
          <w:rFonts w:ascii="仿宋_GB2312" w:hAnsi="宋体" w:eastAsia="仿宋_GB2312" w:cs="仿宋_GB2312"/>
          <w:color w:val="000000"/>
          <w:kern w:val="0"/>
          <w:sz w:val="32"/>
          <w:szCs w:val="32"/>
          <w:highlight w:val="none"/>
        </w:rPr>
        <w:t>财政拨款</w:t>
      </w:r>
      <w:r>
        <w:rPr>
          <w:rFonts w:hint="eastAsia" w:ascii="仿宋_GB2312" w:hAnsi="仿宋" w:eastAsia="仿宋_GB2312"/>
          <w:sz w:val="32"/>
          <w:szCs w:val="32"/>
          <w:highlight w:val="none"/>
        </w:rPr>
        <w:t>收入总计、支出总计均为</w:t>
      </w:r>
      <w:r>
        <w:rPr>
          <w:rFonts w:hint="eastAsia" w:ascii="仿宋_GB2312" w:hAnsi="仿宋" w:eastAsia="仿宋_GB2312"/>
          <w:sz w:val="32"/>
          <w:szCs w:val="32"/>
          <w:highlight w:val="none"/>
          <w:lang w:val="en-US" w:eastAsia="zh-CN"/>
        </w:rPr>
        <w:t>376.81</w:t>
      </w:r>
      <w:r>
        <w:rPr>
          <w:rFonts w:ascii="仿宋_GB2312" w:hAnsi="宋体" w:eastAsia="仿宋_GB2312" w:cs="仿宋_GB2312"/>
          <w:color w:val="000000"/>
          <w:kern w:val="0"/>
          <w:sz w:val="32"/>
          <w:szCs w:val="32"/>
          <w:highlight w:val="none"/>
        </w:rPr>
        <w:t>万元</w:t>
      </w:r>
      <w:r>
        <w:rPr>
          <w:rFonts w:hint="eastAsia" w:ascii="仿宋_GB2312" w:hAnsi="宋体" w:eastAsia="仿宋_GB2312" w:cs="仿宋_GB2312"/>
          <w:color w:val="000000"/>
          <w:kern w:val="0"/>
          <w:sz w:val="32"/>
          <w:szCs w:val="32"/>
          <w:highlight w:val="none"/>
        </w:rPr>
        <w:t>，与</w:t>
      </w:r>
      <w:r>
        <w:rPr>
          <w:rFonts w:hint="eastAsia" w:ascii="仿宋_GB2312" w:hAnsi="仿宋" w:eastAsia="仿宋_GB2312"/>
          <w:sz w:val="32"/>
          <w:szCs w:val="32"/>
          <w:highlight w:val="none"/>
        </w:rPr>
        <w:t>上年相比收入总计、支出总计</w:t>
      </w:r>
      <w:r>
        <w:rPr>
          <w:rFonts w:hint="eastAsia" w:ascii="仿宋_GB2312" w:hAnsi="仿宋" w:eastAsia="仿宋_GB2312"/>
          <w:sz w:val="32"/>
          <w:szCs w:val="32"/>
          <w:highlight w:val="none"/>
          <w:lang w:val="en-US" w:eastAsia="zh-CN"/>
        </w:rPr>
        <w:t>增加107.45</w:t>
      </w:r>
      <w:r>
        <w:rPr>
          <w:rFonts w:hint="eastAsia" w:ascii="仿宋_GB2312" w:hAnsi="仿宋" w:eastAsia="仿宋_GB2312"/>
          <w:sz w:val="32"/>
          <w:szCs w:val="32"/>
          <w:highlight w:val="none"/>
        </w:rPr>
        <w:t>万元，增长</w:t>
      </w:r>
      <w:r>
        <w:rPr>
          <w:rFonts w:hint="eastAsia" w:ascii="仿宋_GB2312" w:hAnsi="仿宋" w:eastAsia="仿宋_GB2312"/>
          <w:sz w:val="32"/>
          <w:szCs w:val="32"/>
          <w:highlight w:val="none"/>
          <w:lang w:val="en-US" w:eastAsia="zh-CN"/>
        </w:rPr>
        <w:t>39.89</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主要原因</w:t>
      </w:r>
      <w:r>
        <w:rPr>
          <w:rFonts w:hint="eastAsia" w:ascii="仿宋_GB2312" w:hAnsi="宋体" w:eastAsia="仿宋_GB2312" w:cs="仿宋_GB2312"/>
          <w:color w:val="000000"/>
          <w:kern w:val="0"/>
          <w:sz w:val="32"/>
          <w:szCs w:val="32"/>
          <w:highlight w:val="none"/>
        </w:rPr>
        <w:t>是</w:t>
      </w:r>
      <w:r>
        <w:rPr>
          <w:rFonts w:hint="eastAsia" w:ascii="仿宋_GB2312" w:hAnsi="仿宋_GB2312" w:eastAsia="仿宋_GB2312" w:cs="仿宋_GB2312"/>
          <w:sz w:val="32"/>
          <w:szCs w:val="32"/>
          <w:highlight w:val="none"/>
          <w:lang w:val="en-US" w:eastAsia="zh-CN"/>
        </w:rPr>
        <w:t>新增新冠病毒防控亚定点医院项目农民工工资预算收支170万元，及人员调动，经费支出减少</w:t>
      </w:r>
      <w:r>
        <w:rPr>
          <w:rFonts w:hint="eastAsia" w:ascii="仿宋_GB2312" w:hAnsi="仿宋" w:eastAsia="仿宋_GB2312"/>
          <w:sz w:val="32"/>
          <w:szCs w:val="32"/>
        </w:rPr>
        <w:t>。</w:t>
      </w:r>
    </w:p>
    <w:p w14:paraId="270123A1">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 w:eastAsia="仿宋_GB2312"/>
          <w:sz w:val="32"/>
          <w:szCs w:val="32"/>
          <w:highlight w:val="yellow"/>
        </w:rPr>
      </w:pPr>
    </w:p>
    <w:p w14:paraId="7E9AE1F8">
      <w:pPr>
        <w:widowControl/>
        <w:spacing w:line="560" w:lineRule="exact"/>
        <w:ind w:firstLine="640" w:firstLineChars="200"/>
        <w:jc w:val="left"/>
        <w:rPr>
          <w:rFonts w:hint="eastAsia" w:ascii="仿宋_GB2312" w:hAnsi="仿宋" w:eastAsia="仿宋_GB2312"/>
          <w:sz w:val="32"/>
          <w:szCs w:val="32"/>
          <w:highlight w:val="yellow"/>
        </w:rPr>
      </w:pPr>
    </w:p>
    <w:p w14:paraId="3B13E4A9">
      <w:pPr>
        <w:widowControl/>
        <w:spacing w:line="560" w:lineRule="exact"/>
        <w:ind w:firstLine="640" w:firstLineChars="200"/>
        <w:jc w:val="left"/>
        <w:rPr>
          <w:rFonts w:hint="eastAsia" w:ascii="仿宋_GB2312" w:hAnsi="仿宋" w:eastAsia="仿宋_GB2312"/>
          <w:sz w:val="32"/>
          <w:szCs w:val="32"/>
          <w:highlight w:val="yellow"/>
        </w:rPr>
      </w:pPr>
    </w:p>
    <w:p w14:paraId="72391A8F">
      <w:pPr>
        <w:widowControl/>
        <w:spacing w:line="560" w:lineRule="exact"/>
        <w:ind w:firstLine="640" w:firstLineChars="200"/>
        <w:jc w:val="left"/>
        <w:rPr>
          <w:rFonts w:hint="eastAsia" w:ascii="仿宋_GB2312" w:hAnsi="仿宋" w:eastAsia="仿宋_GB2312"/>
          <w:sz w:val="32"/>
          <w:szCs w:val="32"/>
          <w:highlight w:val="yellow"/>
        </w:rPr>
      </w:pPr>
    </w:p>
    <w:p w14:paraId="015C87EA">
      <w:pPr>
        <w:widowControl/>
        <w:spacing w:line="560" w:lineRule="exact"/>
        <w:ind w:firstLine="640" w:firstLineChars="200"/>
        <w:jc w:val="left"/>
        <w:rPr>
          <w:rFonts w:hint="eastAsia" w:ascii="仿宋_GB2312" w:hAnsi="仿宋" w:eastAsia="仿宋_GB2312"/>
          <w:sz w:val="32"/>
          <w:szCs w:val="32"/>
          <w:highlight w:val="yellow"/>
        </w:rPr>
      </w:pPr>
    </w:p>
    <w:p w14:paraId="4DB3C6E2">
      <w:pPr>
        <w:widowControl/>
        <w:spacing w:line="560" w:lineRule="exact"/>
        <w:ind w:firstLine="640" w:firstLineChars="200"/>
        <w:jc w:val="left"/>
        <w:rPr>
          <w:rFonts w:hint="eastAsia" w:ascii="仿宋_GB2312" w:hAnsi="仿宋" w:eastAsia="仿宋_GB2312"/>
          <w:sz w:val="32"/>
          <w:szCs w:val="32"/>
          <w:highlight w:val="yellow"/>
        </w:rPr>
      </w:pPr>
    </w:p>
    <w:p w14:paraId="5E709136">
      <w:pPr>
        <w:widowControl/>
        <w:spacing w:line="560" w:lineRule="exact"/>
        <w:ind w:firstLine="640" w:firstLineChars="200"/>
        <w:jc w:val="left"/>
        <w:rPr>
          <w:rFonts w:hint="eastAsia" w:ascii="仿宋_GB2312" w:hAnsi="仿宋" w:eastAsia="仿宋_GB2312"/>
          <w:sz w:val="32"/>
          <w:szCs w:val="32"/>
          <w:highlight w:val="yellow"/>
        </w:rPr>
      </w:pPr>
    </w:p>
    <w:p w14:paraId="7646AD3F">
      <w:pPr>
        <w:widowControl/>
        <w:spacing w:line="560" w:lineRule="exact"/>
        <w:ind w:firstLine="640" w:firstLineChars="200"/>
        <w:jc w:val="left"/>
        <w:rPr>
          <w:rFonts w:hint="eastAsia" w:ascii="仿宋_GB2312" w:hAnsi="仿宋" w:eastAsia="仿宋_GB2312"/>
          <w:sz w:val="32"/>
          <w:szCs w:val="32"/>
          <w:highlight w:val="yellow"/>
        </w:rPr>
      </w:pPr>
    </w:p>
    <w:p w14:paraId="330ADC33">
      <w:pPr>
        <w:widowControl/>
        <w:spacing w:line="560" w:lineRule="exact"/>
        <w:ind w:firstLine="640" w:firstLineChars="200"/>
        <w:jc w:val="left"/>
        <w:rPr>
          <w:rFonts w:hint="eastAsia" w:ascii="仿宋_GB2312" w:hAnsi="仿宋" w:eastAsia="仿宋_GB2312"/>
          <w:sz w:val="32"/>
          <w:szCs w:val="32"/>
          <w:highlight w:val="yellow"/>
        </w:rPr>
      </w:pPr>
    </w:p>
    <w:p w14:paraId="40AA65C3">
      <w:pPr>
        <w:widowControl/>
        <w:spacing w:line="560" w:lineRule="exact"/>
        <w:ind w:firstLine="640" w:firstLineChars="200"/>
        <w:jc w:val="left"/>
        <w:rPr>
          <w:rFonts w:hint="eastAsia" w:ascii="仿宋_GB2312" w:hAnsi="仿宋" w:eastAsia="仿宋_GB2312"/>
          <w:sz w:val="32"/>
          <w:szCs w:val="32"/>
          <w:highlight w:val="yellow"/>
        </w:rPr>
      </w:pPr>
    </w:p>
    <w:p w14:paraId="38B81012">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0D93A4E9">
      <w:pPr>
        <w:widowControl/>
        <w:spacing w:line="560" w:lineRule="exact"/>
        <w:ind w:firstLine="420" w:firstLineChars="200"/>
        <w:jc w:val="left"/>
        <w:rPr>
          <w:rFonts w:hint="eastAsia" w:ascii="楷体" w:hAnsi="楷体" w:eastAsia="楷体" w:cs="楷体"/>
          <w:iCs/>
          <w:color w:val="0000FF"/>
          <w:kern w:val="0"/>
          <w:sz w:val="32"/>
          <w:szCs w:val="32"/>
          <w:highlight w:val="cyan"/>
        </w:rPr>
      </w:pPr>
      <w:r>
        <w:drawing>
          <wp:anchor distT="0" distB="0" distL="114300" distR="114300" simplePos="0" relativeHeight="251662336" behindDoc="0" locked="0" layoutInCell="1" allowOverlap="1">
            <wp:simplePos x="0" y="0"/>
            <wp:positionH relativeFrom="column">
              <wp:posOffset>271145</wp:posOffset>
            </wp:positionH>
            <wp:positionV relativeFrom="paragraph">
              <wp:posOffset>-2606675</wp:posOffset>
            </wp:positionV>
            <wp:extent cx="4533900" cy="2876550"/>
            <wp:effectExtent l="4445" t="4445" r="14605" b="14605"/>
            <wp:wrapSquare wrapText="bothSides"/>
            <wp:docPr id="4" name="图片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6BD2A8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rPr>
      </w:pPr>
    </w:p>
    <w:p w14:paraId="10D759B9">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黑体" w:hAnsi="黑体" w:eastAsia="黑体"/>
          <w:color w:val="000000"/>
          <w:kern w:val="0"/>
          <w:sz w:val="32"/>
          <w:szCs w:val="32"/>
        </w:rPr>
      </w:pPr>
      <w:r>
        <w:rPr>
          <w:rFonts w:hint="eastAsia" w:ascii="黑体" w:hAnsi="黑体" w:eastAsia="黑体"/>
          <w:color w:val="000000"/>
          <w:kern w:val="0"/>
          <w:sz w:val="32"/>
          <w:szCs w:val="32"/>
        </w:rPr>
        <w:t>五、一般公共预算财政拨款支出决算情况说明</w:t>
      </w:r>
    </w:p>
    <w:p w14:paraId="338AE877">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 w:eastAsia="仿宋_GB2312"/>
          <w:sz w:val="32"/>
          <w:szCs w:val="32"/>
          <w:highlight w:val="yellow"/>
        </w:rPr>
      </w:pPr>
      <w:r>
        <w:rPr>
          <w:rFonts w:hint="eastAsia" w:ascii="仿宋_GB2312" w:hAnsi="仿宋" w:eastAsia="仿宋_GB2312"/>
          <w:sz w:val="32"/>
          <w:szCs w:val="32"/>
          <w:lang w:eastAsia="zh-CN"/>
        </w:rPr>
        <w:t>2024</w:t>
      </w:r>
      <w:r>
        <w:rPr>
          <w:rFonts w:hint="eastAsia" w:ascii="仿宋_GB2312" w:hAnsi="仿宋" w:eastAsia="仿宋_GB2312"/>
          <w:sz w:val="32"/>
          <w:szCs w:val="32"/>
        </w:rPr>
        <w:t>年</w:t>
      </w:r>
      <w:r>
        <w:rPr>
          <w:rFonts w:hint="eastAsia" w:ascii="仿宋_GB2312" w:hAnsi="宋体" w:eastAsia="仿宋_GB2312" w:cs="仿宋_GB2312"/>
          <w:color w:val="000000"/>
          <w:kern w:val="0"/>
          <w:sz w:val="32"/>
          <w:szCs w:val="32"/>
        </w:rPr>
        <w:t>度一般公共预算</w:t>
      </w:r>
      <w:r>
        <w:rPr>
          <w:rFonts w:ascii="仿宋_GB2312" w:hAnsi="宋体" w:eastAsia="仿宋_GB2312" w:cs="仿宋_GB2312"/>
          <w:color w:val="000000"/>
          <w:kern w:val="0"/>
          <w:sz w:val="32"/>
          <w:szCs w:val="32"/>
        </w:rPr>
        <w:t>财政拨款支出</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w:t>
      </w:r>
      <w:r>
        <w:rPr>
          <w:rFonts w:hint="eastAsia" w:ascii="仿宋_GB2312" w:hAnsi="宋体" w:eastAsia="仿宋_GB2312" w:cs="仿宋_GB2312"/>
          <w:color w:val="000000"/>
          <w:kern w:val="0"/>
          <w:sz w:val="32"/>
          <w:szCs w:val="32"/>
          <w:lang w:val="en-US" w:eastAsia="zh-CN"/>
        </w:rPr>
        <w:t>395.15</w:t>
      </w:r>
      <w:r>
        <w:rPr>
          <w:rFonts w:ascii="仿宋_GB2312" w:hAnsi="宋体" w:eastAsia="仿宋_GB2312" w:cs="仿宋_GB2312"/>
          <w:color w:val="000000"/>
          <w:kern w:val="0"/>
          <w:sz w:val="32"/>
          <w:szCs w:val="32"/>
        </w:rPr>
        <w:t>万元，支出决算</w:t>
      </w:r>
      <w:r>
        <w:rPr>
          <w:rFonts w:hint="eastAsia" w:ascii="仿宋_GB2312" w:hAnsi="宋体" w:eastAsia="仿宋_GB2312" w:cs="仿宋_GB2312"/>
          <w:color w:val="000000"/>
          <w:kern w:val="0"/>
          <w:sz w:val="32"/>
          <w:szCs w:val="32"/>
          <w:lang w:val="en-US" w:eastAsia="zh-CN"/>
        </w:rPr>
        <w:t>376.81</w:t>
      </w:r>
      <w:r>
        <w:rPr>
          <w:rFonts w:ascii="仿宋_GB2312" w:hAnsi="宋体" w:eastAsia="仿宋_GB2312" w:cs="仿宋_GB2312"/>
          <w:color w:val="000000"/>
          <w:kern w:val="0"/>
          <w:sz w:val="32"/>
          <w:szCs w:val="32"/>
        </w:rPr>
        <w:t>万元，完成</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预算的</w:t>
      </w:r>
      <w:r>
        <w:rPr>
          <w:rFonts w:hint="eastAsia" w:ascii="仿宋_GB2312" w:hAnsi="宋体" w:eastAsia="仿宋_GB2312" w:cs="仿宋_GB2312"/>
          <w:color w:val="000000"/>
          <w:kern w:val="0"/>
          <w:sz w:val="32"/>
          <w:szCs w:val="32"/>
          <w:lang w:val="en-US" w:eastAsia="zh-CN"/>
        </w:rPr>
        <w:t>95.36%，</w:t>
      </w:r>
      <w:r>
        <w:rPr>
          <w:rFonts w:ascii="仿宋_GB2312" w:hAnsi="宋体" w:eastAsia="仿宋_GB2312" w:cs="仿宋_GB2312"/>
          <w:color w:val="000000"/>
          <w:kern w:val="0"/>
          <w:sz w:val="32"/>
          <w:szCs w:val="32"/>
        </w:rPr>
        <w:t>占本年支出合计的</w:t>
      </w:r>
      <w:r>
        <w:rPr>
          <w:rFonts w:hint="eastAsia" w:ascii="仿宋_GB2312" w:hAnsi="宋体" w:eastAsia="仿宋_GB2312" w:cs="仿宋_GB2312"/>
          <w:color w:val="000000"/>
          <w:kern w:val="0"/>
          <w:sz w:val="32"/>
          <w:szCs w:val="32"/>
          <w:lang w:val="en-US" w:eastAsia="zh-CN"/>
        </w:rPr>
        <w:t>100</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w:t>
      </w:r>
      <w:r>
        <w:rPr>
          <w:rFonts w:ascii="仿宋_GB2312" w:hAnsi="宋体" w:eastAsia="仿宋_GB2312" w:cs="仿宋_GB2312"/>
          <w:color w:val="000000"/>
          <w:kern w:val="0"/>
          <w:sz w:val="32"/>
          <w:szCs w:val="32"/>
        </w:rPr>
        <w:t>与</w:t>
      </w:r>
      <w:r>
        <w:rPr>
          <w:rFonts w:hint="eastAsia" w:ascii="仿宋_GB2312" w:hAnsi="宋体" w:eastAsia="仿宋_GB2312" w:cs="仿宋_GB2312"/>
          <w:color w:val="000000"/>
          <w:kern w:val="0"/>
          <w:sz w:val="32"/>
          <w:szCs w:val="32"/>
        </w:rPr>
        <w:t>上年</w:t>
      </w:r>
      <w:r>
        <w:rPr>
          <w:rFonts w:ascii="仿宋_GB2312" w:hAnsi="宋体" w:eastAsia="仿宋_GB2312" w:cs="仿宋_GB2312"/>
          <w:color w:val="000000"/>
          <w:kern w:val="0"/>
          <w:sz w:val="32"/>
          <w:szCs w:val="32"/>
        </w:rPr>
        <w:t>相比，财政拨款支出增加</w:t>
      </w:r>
      <w:r>
        <w:rPr>
          <w:rFonts w:hint="eastAsia" w:ascii="仿宋_GB2312" w:hAnsi="宋体" w:eastAsia="仿宋_GB2312" w:cs="仿宋_GB2312"/>
          <w:color w:val="000000"/>
          <w:kern w:val="0"/>
          <w:sz w:val="32"/>
          <w:szCs w:val="32"/>
          <w:lang w:val="en-US" w:eastAsia="zh-CN"/>
        </w:rPr>
        <w:t>147.45</w:t>
      </w:r>
      <w:r>
        <w:rPr>
          <w:rFonts w:ascii="仿宋_GB2312" w:hAnsi="宋体" w:eastAsia="仿宋_GB2312" w:cs="仿宋_GB2312"/>
          <w:color w:val="000000"/>
          <w:kern w:val="0"/>
          <w:sz w:val="32"/>
          <w:szCs w:val="32"/>
        </w:rPr>
        <w:t>万元，</w:t>
      </w:r>
      <w:r>
        <w:rPr>
          <w:rFonts w:ascii="仿宋_GB2312" w:hAnsi="宋体" w:eastAsia="仿宋_GB2312" w:cs="仿宋_GB2312"/>
          <w:color w:val="000000"/>
          <w:kern w:val="0"/>
          <w:sz w:val="32"/>
          <w:szCs w:val="32"/>
          <w:highlight w:val="none"/>
        </w:rPr>
        <w:t>增长</w:t>
      </w:r>
      <w:r>
        <w:rPr>
          <w:rFonts w:hint="eastAsia" w:ascii="仿宋_GB2312" w:hAnsi="宋体" w:eastAsia="仿宋_GB2312" w:cs="仿宋_GB2312"/>
          <w:color w:val="000000"/>
          <w:kern w:val="0"/>
          <w:sz w:val="32"/>
          <w:szCs w:val="32"/>
          <w:highlight w:val="none"/>
          <w:lang w:val="en-US" w:eastAsia="zh-CN"/>
        </w:rPr>
        <w:t>64.29</w:t>
      </w:r>
      <w:r>
        <w:rPr>
          <w:rFonts w:ascii="仿宋_GB2312" w:hAnsi="宋体" w:eastAsia="仿宋_GB2312" w:cs="仿宋_GB2312"/>
          <w:color w:val="000000"/>
          <w:kern w:val="0"/>
          <w:sz w:val="32"/>
          <w:szCs w:val="32"/>
          <w:highlight w:val="none"/>
        </w:rPr>
        <w:t>%，主要</w:t>
      </w:r>
      <w:r>
        <w:rPr>
          <w:rFonts w:hint="eastAsia" w:ascii="仿宋_GB2312" w:hAnsi="宋体" w:eastAsia="仿宋_GB2312" w:cs="仿宋_GB2312"/>
          <w:color w:val="000000"/>
          <w:kern w:val="0"/>
          <w:sz w:val="32"/>
          <w:szCs w:val="32"/>
          <w:highlight w:val="none"/>
        </w:rPr>
        <w:t>原因是</w:t>
      </w:r>
      <w:r>
        <w:rPr>
          <w:rFonts w:hint="eastAsia" w:ascii="仿宋_GB2312" w:hAnsi="仿宋_GB2312" w:eastAsia="仿宋_GB2312" w:cs="仿宋_GB2312"/>
          <w:sz w:val="32"/>
          <w:szCs w:val="32"/>
          <w:highlight w:val="none"/>
          <w:lang w:val="en-US" w:eastAsia="zh-CN"/>
        </w:rPr>
        <w:t>新增新冠病毒防控亚定点医院项目农民工工资预算收支170万元，及人员调动，经费支出减少</w:t>
      </w:r>
      <w:r>
        <w:rPr>
          <w:rFonts w:hint="eastAsia" w:ascii="仿宋_GB2312" w:hAnsi="仿宋" w:eastAsia="仿宋_GB2312"/>
          <w:sz w:val="32"/>
          <w:szCs w:val="32"/>
        </w:rPr>
        <w:t>。</w:t>
      </w:r>
    </w:p>
    <w:p w14:paraId="658B07B0">
      <w:pPr>
        <w:widowControl/>
        <w:spacing w:line="560" w:lineRule="exact"/>
        <w:jc w:val="left"/>
        <w:rPr>
          <w:rFonts w:hint="eastAsia" w:ascii="仿宋_GB2312" w:hAnsi="仿宋" w:eastAsia="仿宋_GB2312"/>
          <w:sz w:val="32"/>
          <w:szCs w:val="32"/>
          <w:highlight w:val="yellow"/>
        </w:rPr>
      </w:pPr>
      <w:r>
        <w:drawing>
          <wp:anchor distT="0" distB="0" distL="114300" distR="114300" simplePos="0" relativeHeight="251663360" behindDoc="0" locked="0" layoutInCell="1" allowOverlap="1">
            <wp:simplePos x="0" y="0"/>
            <wp:positionH relativeFrom="column">
              <wp:posOffset>631190</wp:posOffset>
            </wp:positionH>
            <wp:positionV relativeFrom="paragraph">
              <wp:posOffset>210185</wp:posOffset>
            </wp:positionV>
            <wp:extent cx="3727450" cy="2364740"/>
            <wp:effectExtent l="5080" t="4445" r="20320" b="12065"/>
            <wp:wrapSquare wrapText="bothSides"/>
            <wp:docPr id="5" name="图片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BBCDA46">
      <w:pPr>
        <w:widowControl/>
        <w:spacing w:line="560" w:lineRule="exact"/>
        <w:ind w:firstLine="640" w:firstLineChars="200"/>
        <w:jc w:val="left"/>
        <w:rPr>
          <w:rFonts w:hint="eastAsia" w:ascii="仿宋_GB2312" w:hAnsi="仿宋" w:eastAsia="仿宋_GB2312"/>
          <w:sz w:val="32"/>
          <w:szCs w:val="32"/>
          <w:highlight w:val="yellow"/>
        </w:rPr>
      </w:pPr>
    </w:p>
    <w:p w14:paraId="71C5D1F8">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6DC27602">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2C92233C">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72A3701F">
      <w:pPr>
        <w:widowControl/>
        <w:spacing w:line="560" w:lineRule="exact"/>
        <w:ind w:firstLine="640" w:firstLineChars="200"/>
        <w:jc w:val="left"/>
        <w:rPr>
          <w:rFonts w:hint="eastAsia" w:ascii="楷体" w:hAnsi="楷体" w:eastAsia="楷体" w:cs="楷体"/>
          <w:iCs/>
          <w:color w:val="0000FF"/>
          <w:kern w:val="0"/>
          <w:sz w:val="32"/>
          <w:szCs w:val="32"/>
          <w:highlight w:val="cyan"/>
        </w:rPr>
      </w:pPr>
    </w:p>
    <w:p w14:paraId="03459962">
      <w:pPr>
        <w:widowControl/>
        <w:spacing w:line="560" w:lineRule="exact"/>
        <w:ind w:firstLine="640" w:firstLineChars="200"/>
        <w:jc w:val="left"/>
        <w:rPr>
          <w:rFonts w:hint="eastAsia" w:ascii="仿宋_GB2312" w:hAnsi="宋体" w:eastAsia="仿宋_GB2312" w:cs="仿宋_GB2312"/>
          <w:color w:val="000000"/>
          <w:kern w:val="0"/>
          <w:sz w:val="32"/>
          <w:szCs w:val="32"/>
        </w:rPr>
      </w:pPr>
    </w:p>
    <w:p w14:paraId="296CDB67">
      <w:pPr>
        <w:widowControl/>
        <w:spacing w:line="560" w:lineRule="exact"/>
        <w:ind w:firstLine="640" w:firstLineChars="200"/>
        <w:jc w:val="left"/>
        <w:rPr>
          <w:rFonts w:hint="eastAsia" w:ascii="仿宋_GB2312" w:hAnsi="宋体" w:eastAsia="仿宋_GB2312" w:cs="仿宋_GB2312"/>
          <w:b/>
          <w:bCs/>
          <w:color w:val="000000"/>
          <w:kern w:val="0"/>
          <w:sz w:val="32"/>
          <w:szCs w:val="32"/>
          <w:lang w:val="en-US" w:eastAsia="zh-CN"/>
        </w:rPr>
      </w:pPr>
      <w:r>
        <w:rPr>
          <w:rFonts w:hint="eastAsia" w:ascii="仿宋_GB2312" w:hAnsi="宋体" w:eastAsia="仿宋_GB2312" w:cs="仿宋_GB2312"/>
          <w:color w:val="000000"/>
          <w:kern w:val="0"/>
          <w:sz w:val="32"/>
          <w:szCs w:val="32"/>
        </w:rPr>
        <w:t>按照政府功能分类科目，</w:t>
      </w:r>
      <w:r>
        <w:rPr>
          <w:rFonts w:ascii="仿宋_GB2312" w:hAnsi="宋体" w:eastAsia="仿宋_GB2312" w:cs="仿宋_GB2312"/>
          <w:color w:val="000000"/>
          <w:kern w:val="0"/>
          <w:sz w:val="32"/>
          <w:szCs w:val="32"/>
        </w:rPr>
        <w:t>其中：</w:t>
      </w:r>
    </w:p>
    <w:p w14:paraId="2EFCA941">
      <w:pPr>
        <w:widowControl/>
        <w:spacing w:line="560" w:lineRule="exact"/>
        <w:ind w:firstLine="420" w:firstLineChars="200"/>
        <w:jc w:val="left"/>
        <w:rPr>
          <w:rFonts w:hint="eastAsia" w:ascii="仿宋_GB2312" w:hAnsi="宋体" w:eastAsia="仿宋_GB2312" w:cs="仿宋_GB2312"/>
          <w:b/>
          <w:bCs/>
          <w:color w:val="000000"/>
          <w:kern w:val="0"/>
          <w:sz w:val="32"/>
          <w:szCs w:val="32"/>
          <w:lang w:val="en-US" w:eastAsia="zh-CN"/>
        </w:rPr>
      </w:pPr>
      <w:r>
        <w:drawing>
          <wp:anchor distT="0" distB="0" distL="114300" distR="114300" simplePos="0" relativeHeight="251664384" behindDoc="0" locked="0" layoutInCell="1" allowOverlap="1">
            <wp:simplePos x="0" y="0"/>
            <wp:positionH relativeFrom="column">
              <wp:posOffset>252095</wp:posOffset>
            </wp:positionH>
            <wp:positionV relativeFrom="paragraph">
              <wp:posOffset>243205</wp:posOffset>
            </wp:positionV>
            <wp:extent cx="4533900" cy="2781300"/>
            <wp:effectExtent l="4445" t="4445" r="14605" b="14605"/>
            <wp:wrapSquare wrapText="bothSides"/>
            <wp:docPr id="6" name="图片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E9ED4AB">
      <w:pPr>
        <w:widowControl/>
        <w:spacing w:line="560" w:lineRule="exact"/>
        <w:ind w:firstLine="643" w:firstLineChars="200"/>
        <w:jc w:val="left"/>
        <w:rPr>
          <w:rFonts w:hint="eastAsia" w:ascii="仿宋_GB2312" w:hAnsi="宋体" w:eastAsia="仿宋_GB2312" w:cs="仿宋_GB2312"/>
          <w:b/>
          <w:bCs/>
          <w:color w:val="000000"/>
          <w:kern w:val="0"/>
          <w:sz w:val="32"/>
          <w:szCs w:val="32"/>
          <w:lang w:val="en-US" w:eastAsia="zh-CN"/>
        </w:rPr>
      </w:pPr>
    </w:p>
    <w:p w14:paraId="6653059D">
      <w:pPr>
        <w:widowControl/>
        <w:spacing w:line="560" w:lineRule="exact"/>
        <w:ind w:firstLine="643" w:firstLineChars="200"/>
        <w:jc w:val="left"/>
        <w:rPr>
          <w:rFonts w:hint="eastAsia" w:ascii="仿宋_GB2312" w:hAnsi="宋体" w:eastAsia="仿宋_GB2312" w:cs="仿宋_GB2312"/>
          <w:b/>
          <w:bCs/>
          <w:color w:val="000000"/>
          <w:kern w:val="0"/>
          <w:sz w:val="32"/>
          <w:szCs w:val="32"/>
          <w:lang w:val="en-US" w:eastAsia="zh-CN"/>
        </w:rPr>
      </w:pPr>
    </w:p>
    <w:p w14:paraId="5B220344">
      <w:pPr>
        <w:widowControl/>
        <w:spacing w:line="560" w:lineRule="exact"/>
        <w:ind w:firstLine="643" w:firstLineChars="200"/>
        <w:jc w:val="left"/>
        <w:rPr>
          <w:rFonts w:hint="eastAsia" w:ascii="仿宋_GB2312" w:hAnsi="宋体" w:eastAsia="仿宋_GB2312" w:cs="仿宋_GB2312"/>
          <w:b/>
          <w:bCs/>
          <w:color w:val="000000"/>
          <w:kern w:val="0"/>
          <w:sz w:val="32"/>
          <w:szCs w:val="32"/>
          <w:lang w:val="en-US" w:eastAsia="zh-CN"/>
        </w:rPr>
      </w:pPr>
    </w:p>
    <w:p w14:paraId="346068D4">
      <w:pPr>
        <w:widowControl/>
        <w:spacing w:line="560" w:lineRule="exact"/>
        <w:ind w:firstLine="643" w:firstLineChars="200"/>
        <w:jc w:val="left"/>
        <w:rPr>
          <w:rFonts w:hint="eastAsia" w:ascii="仿宋_GB2312" w:hAnsi="宋体" w:eastAsia="仿宋_GB2312" w:cs="仿宋_GB2312"/>
          <w:b/>
          <w:bCs/>
          <w:color w:val="000000"/>
          <w:kern w:val="0"/>
          <w:sz w:val="32"/>
          <w:szCs w:val="32"/>
          <w:lang w:val="en-US" w:eastAsia="zh-CN"/>
        </w:rPr>
      </w:pPr>
    </w:p>
    <w:p w14:paraId="1FAD20C9">
      <w:pPr>
        <w:widowControl/>
        <w:spacing w:line="560" w:lineRule="exact"/>
        <w:ind w:firstLine="643" w:firstLineChars="200"/>
        <w:jc w:val="left"/>
        <w:rPr>
          <w:rFonts w:hint="eastAsia" w:ascii="仿宋_GB2312" w:hAnsi="宋体" w:eastAsia="仿宋_GB2312" w:cs="仿宋_GB2312"/>
          <w:b/>
          <w:bCs/>
          <w:color w:val="000000"/>
          <w:kern w:val="0"/>
          <w:sz w:val="32"/>
          <w:szCs w:val="32"/>
          <w:lang w:val="en-US" w:eastAsia="zh-CN"/>
        </w:rPr>
      </w:pPr>
    </w:p>
    <w:p w14:paraId="16C6BA91">
      <w:pPr>
        <w:widowControl/>
        <w:spacing w:line="560" w:lineRule="exact"/>
        <w:ind w:firstLine="643" w:firstLineChars="200"/>
        <w:jc w:val="left"/>
        <w:rPr>
          <w:rFonts w:hint="eastAsia" w:ascii="仿宋_GB2312" w:hAnsi="宋体" w:eastAsia="仿宋_GB2312" w:cs="仿宋_GB2312"/>
          <w:b/>
          <w:bCs/>
          <w:color w:val="000000"/>
          <w:kern w:val="0"/>
          <w:sz w:val="32"/>
          <w:szCs w:val="32"/>
          <w:lang w:val="en-US" w:eastAsia="zh-CN"/>
        </w:rPr>
      </w:pPr>
    </w:p>
    <w:p w14:paraId="1EAD04AD">
      <w:pPr>
        <w:widowControl/>
        <w:spacing w:line="560" w:lineRule="exact"/>
        <w:ind w:firstLine="643" w:firstLineChars="200"/>
        <w:jc w:val="left"/>
        <w:rPr>
          <w:rFonts w:hint="eastAsia" w:ascii="仿宋_GB2312" w:hAnsi="宋体" w:eastAsia="仿宋_GB2312" w:cs="仿宋_GB2312"/>
          <w:b/>
          <w:bCs/>
          <w:color w:val="000000"/>
          <w:kern w:val="0"/>
          <w:sz w:val="32"/>
          <w:szCs w:val="32"/>
          <w:lang w:val="en-US" w:eastAsia="zh-CN"/>
        </w:rPr>
      </w:pPr>
    </w:p>
    <w:p w14:paraId="41CF8AEF">
      <w:pPr>
        <w:widowControl/>
        <w:spacing w:line="560" w:lineRule="exact"/>
        <w:ind w:firstLine="643" w:firstLineChars="200"/>
        <w:jc w:val="left"/>
        <w:rPr>
          <w:rFonts w:hint="eastAsia" w:ascii="仿宋_GB2312" w:hAnsi="宋体" w:eastAsia="仿宋_GB2312" w:cs="仿宋_GB2312"/>
          <w:b/>
          <w:bCs/>
          <w:color w:val="000000"/>
          <w:kern w:val="0"/>
          <w:sz w:val="32"/>
          <w:szCs w:val="32"/>
          <w:lang w:val="en-US" w:eastAsia="zh-CN"/>
        </w:rPr>
      </w:pPr>
    </w:p>
    <w:p w14:paraId="40BAB063">
      <w:pPr>
        <w:keepNext w:val="0"/>
        <w:keepLines w:val="0"/>
        <w:pageBreakBefore w:val="0"/>
        <w:widowControl/>
        <w:kinsoku/>
        <w:wordWrap/>
        <w:overflowPunct/>
        <w:topLinePunct w:val="0"/>
        <w:autoSpaceDE/>
        <w:autoSpaceDN/>
        <w:bidi w:val="0"/>
        <w:adjustRightInd/>
        <w:snapToGrid/>
        <w:spacing w:line="240" w:lineRule="auto"/>
        <w:ind w:firstLine="643" w:firstLineChars="200"/>
        <w:jc w:val="left"/>
        <w:textAlignment w:val="auto"/>
        <w:rPr>
          <w:rFonts w:hint="default" w:ascii="仿宋_GB2312" w:hAnsi="宋体" w:eastAsia="仿宋_GB2312" w:cs="仿宋_GB2312"/>
          <w:b/>
          <w:bCs/>
          <w:color w:val="FF0000"/>
          <w:kern w:val="0"/>
          <w:sz w:val="32"/>
          <w:szCs w:val="32"/>
          <w:lang w:val="en-US" w:eastAsia="zh-CN"/>
        </w:rPr>
      </w:pPr>
      <w:r>
        <w:rPr>
          <w:rFonts w:hint="eastAsia" w:ascii="仿宋_GB2312" w:hAnsi="宋体" w:eastAsia="仿宋_GB2312" w:cs="仿宋_GB2312"/>
          <w:b/>
          <w:bCs/>
          <w:color w:val="FF0000"/>
          <w:kern w:val="0"/>
          <w:sz w:val="32"/>
          <w:szCs w:val="32"/>
          <w:lang w:val="en-US" w:eastAsia="zh-CN"/>
        </w:rPr>
        <w:t>1.一般公共服务支出（类）工程建设管理（款）社会保障和就业（项）。</w:t>
      </w:r>
    </w:p>
    <w:p w14:paraId="4C192A43">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w:t>
      </w:r>
      <w:r>
        <w:rPr>
          <w:rFonts w:hint="eastAsia" w:ascii="仿宋_GB2312" w:hAnsi="宋体" w:eastAsia="仿宋_GB2312" w:cs="仿宋_GB2312"/>
          <w:color w:val="000000"/>
          <w:kern w:val="0"/>
          <w:sz w:val="32"/>
          <w:szCs w:val="32"/>
          <w:lang w:val="en-US" w:eastAsia="zh-CN"/>
        </w:rPr>
        <w:t>32.20</w:t>
      </w:r>
      <w:r>
        <w:rPr>
          <w:rFonts w:ascii="仿宋_GB2312" w:hAnsi="宋体" w:eastAsia="仿宋_GB2312" w:cs="仿宋_GB2312"/>
          <w:color w:val="000000"/>
          <w:kern w:val="0"/>
          <w:sz w:val="32"/>
          <w:szCs w:val="32"/>
        </w:rPr>
        <w:t>万元，支出决算</w:t>
      </w:r>
      <w:r>
        <w:rPr>
          <w:rFonts w:hint="eastAsia" w:ascii="仿宋_GB2312" w:hAnsi="宋体" w:eastAsia="仿宋_GB2312" w:cs="仿宋_GB2312"/>
          <w:color w:val="000000"/>
          <w:kern w:val="0"/>
          <w:sz w:val="32"/>
          <w:szCs w:val="32"/>
          <w:lang w:val="en-US" w:eastAsia="zh-CN"/>
        </w:rPr>
        <w:t>29.01</w:t>
      </w:r>
      <w:r>
        <w:rPr>
          <w:rFonts w:ascii="仿宋_GB2312" w:hAnsi="宋体" w:eastAsia="仿宋_GB2312" w:cs="仿宋_GB2312"/>
          <w:color w:val="000000"/>
          <w:kern w:val="0"/>
          <w:sz w:val="32"/>
          <w:szCs w:val="32"/>
        </w:rPr>
        <w:t>万元，完成</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预算的</w:t>
      </w:r>
      <w:r>
        <w:rPr>
          <w:rFonts w:hint="eastAsia" w:ascii="仿宋_GB2312" w:hAnsi="宋体" w:eastAsia="仿宋_GB2312" w:cs="仿宋_GB2312"/>
          <w:color w:val="000000"/>
          <w:kern w:val="0"/>
          <w:sz w:val="32"/>
          <w:szCs w:val="32"/>
          <w:lang w:val="en-US" w:eastAsia="zh-CN"/>
        </w:rPr>
        <w:t>90.09</w:t>
      </w:r>
      <w:r>
        <w:rPr>
          <w:rFonts w:ascii="仿宋_GB2312" w:hAnsi="宋体" w:eastAsia="仿宋_GB2312" w:cs="仿宋_GB2312"/>
          <w:color w:val="000000"/>
          <w:kern w:val="0"/>
          <w:sz w:val="32"/>
          <w:szCs w:val="32"/>
        </w:rPr>
        <w:t>%。决算数</w:t>
      </w:r>
      <w:r>
        <w:rPr>
          <w:rFonts w:hint="eastAsia" w:ascii="仿宋_GB2312" w:hAnsi="宋体" w:eastAsia="仿宋_GB2312" w:cs="仿宋_GB2312"/>
          <w:color w:val="000000"/>
          <w:kern w:val="0"/>
          <w:sz w:val="32"/>
          <w:szCs w:val="32"/>
          <w:lang w:val="en-US" w:eastAsia="zh-CN"/>
        </w:rPr>
        <w:t>小</w:t>
      </w:r>
      <w:r>
        <w:rPr>
          <w:rFonts w:ascii="仿宋_GB2312" w:hAnsi="宋体" w:eastAsia="仿宋_GB2312" w:cs="仿宋_GB2312"/>
          <w:color w:val="000000"/>
          <w:kern w:val="0"/>
          <w:sz w:val="32"/>
          <w:szCs w:val="32"/>
        </w:rPr>
        <w:t>于</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预算数的主要原因是</w:t>
      </w:r>
      <w:r>
        <w:rPr>
          <w:rFonts w:hint="eastAsia" w:ascii="仿宋_GB2312" w:hAnsi="宋体" w:eastAsia="仿宋_GB2312" w:cs="仿宋_GB2312"/>
          <w:color w:val="000000"/>
          <w:kern w:val="0"/>
          <w:sz w:val="32"/>
          <w:szCs w:val="32"/>
          <w:lang w:val="en-US" w:eastAsia="zh-CN"/>
        </w:rPr>
        <w:t>2024年因人员调动，经费收支减少</w:t>
      </w:r>
      <w:r>
        <w:rPr>
          <w:rFonts w:hint="eastAsia" w:ascii="仿宋_GB2312" w:hAnsi="宋体" w:eastAsia="仿宋_GB2312" w:cs="仿宋_GB2312"/>
          <w:color w:val="000000"/>
          <w:kern w:val="0"/>
          <w:sz w:val="32"/>
          <w:szCs w:val="32"/>
        </w:rPr>
        <w:t>。</w:t>
      </w:r>
    </w:p>
    <w:p w14:paraId="232DCA4C">
      <w:pPr>
        <w:keepNext w:val="0"/>
        <w:keepLines w:val="0"/>
        <w:pageBreakBefore w:val="0"/>
        <w:widowControl/>
        <w:kinsoku/>
        <w:wordWrap/>
        <w:overflowPunct/>
        <w:topLinePunct w:val="0"/>
        <w:autoSpaceDE/>
        <w:autoSpaceDN/>
        <w:bidi w:val="0"/>
        <w:adjustRightInd/>
        <w:snapToGrid/>
        <w:spacing w:line="240" w:lineRule="auto"/>
        <w:ind w:firstLine="643" w:firstLineChars="200"/>
        <w:jc w:val="left"/>
        <w:textAlignment w:val="auto"/>
        <w:rPr>
          <w:rFonts w:hint="default" w:ascii="仿宋_GB2312" w:hAnsi="宋体" w:eastAsia="仿宋_GB2312" w:cs="仿宋_GB2312"/>
          <w:b/>
          <w:bCs/>
          <w:color w:val="FF0000"/>
          <w:kern w:val="0"/>
          <w:sz w:val="32"/>
          <w:szCs w:val="32"/>
          <w:lang w:val="en-US" w:eastAsia="zh-CN"/>
        </w:rPr>
      </w:pPr>
      <w:r>
        <w:rPr>
          <w:rFonts w:hint="eastAsia" w:ascii="仿宋_GB2312" w:hAnsi="宋体" w:eastAsia="仿宋_GB2312" w:cs="仿宋_GB2312"/>
          <w:b/>
          <w:bCs/>
          <w:color w:val="FF0000"/>
          <w:kern w:val="0"/>
          <w:sz w:val="32"/>
          <w:szCs w:val="32"/>
          <w:lang w:val="en-US" w:eastAsia="zh-CN"/>
        </w:rPr>
        <w:t>2.一般公共服务支出（类）工程建设管理（款）卫生健康（项）。</w:t>
      </w:r>
    </w:p>
    <w:p w14:paraId="568642CE">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年</w:t>
      </w:r>
      <w:r>
        <w:rPr>
          <w:rFonts w:hint="eastAsia" w:ascii="仿宋_GB2312" w:hAnsi="宋体" w:eastAsia="仿宋_GB2312" w:cs="仿宋_GB2312"/>
          <w:color w:val="000000"/>
          <w:kern w:val="0"/>
          <w:sz w:val="32"/>
          <w:szCs w:val="32"/>
        </w:rPr>
        <w:t>初</w:t>
      </w:r>
      <w:r>
        <w:rPr>
          <w:rFonts w:ascii="仿宋_GB2312" w:hAnsi="宋体" w:eastAsia="仿宋_GB2312" w:cs="仿宋_GB2312"/>
          <w:color w:val="000000"/>
          <w:kern w:val="0"/>
          <w:sz w:val="32"/>
          <w:szCs w:val="32"/>
        </w:rPr>
        <w:t>预算</w:t>
      </w:r>
      <w:r>
        <w:rPr>
          <w:rFonts w:hint="eastAsia" w:ascii="仿宋_GB2312" w:hAnsi="仿宋_GB2312" w:eastAsia="仿宋_GB2312" w:cs="仿宋_GB2312"/>
          <w:sz w:val="32"/>
          <w:szCs w:val="32"/>
          <w:highlight w:val="none"/>
          <w:lang w:val="en-US" w:eastAsia="zh-CN"/>
        </w:rPr>
        <w:t>7.26</w:t>
      </w:r>
      <w:r>
        <w:rPr>
          <w:rFonts w:ascii="仿宋_GB2312" w:hAnsi="宋体" w:eastAsia="仿宋_GB2312" w:cs="仿宋_GB2312"/>
          <w:color w:val="000000"/>
          <w:kern w:val="0"/>
          <w:sz w:val="32"/>
          <w:szCs w:val="32"/>
        </w:rPr>
        <w:t>万元，支出决算</w:t>
      </w:r>
      <w:r>
        <w:rPr>
          <w:rFonts w:hint="eastAsia" w:ascii="仿宋_GB2312" w:hAnsi="宋体" w:eastAsia="仿宋_GB2312" w:cs="仿宋_GB2312"/>
          <w:color w:val="000000"/>
          <w:kern w:val="0"/>
          <w:sz w:val="32"/>
          <w:szCs w:val="32"/>
          <w:lang w:val="en-US" w:eastAsia="zh-CN"/>
        </w:rPr>
        <w:t>7.29</w:t>
      </w:r>
      <w:r>
        <w:rPr>
          <w:rFonts w:ascii="仿宋_GB2312" w:hAnsi="宋体" w:eastAsia="仿宋_GB2312" w:cs="仿宋_GB2312"/>
          <w:color w:val="000000"/>
          <w:kern w:val="0"/>
          <w:sz w:val="32"/>
          <w:szCs w:val="32"/>
        </w:rPr>
        <w:t>万元，完成</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预算的</w:t>
      </w:r>
      <w:r>
        <w:rPr>
          <w:rFonts w:hint="eastAsia" w:ascii="仿宋_GB2312" w:hAnsi="宋体" w:eastAsia="仿宋_GB2312" w:cs="仿宋_GB2312"/>
          <w:color w:val="000000"/>
          <w:kern w:val="0"/>
          <w:sz w:val="32"/>
          <w:szCs w:val="32"/>
          <w:lang w:val="en-US" w:eastAsia="zh-CN"/>
        </w:rPr>
        <w:t>100.41</w:t>
      </w:r>
      <w:r>
        <w:rPr>
          <w:rFonts w:ascii="仿宋_GB2312" w:hAnsi="宋体" w:eastAsia="仿宋_GB2312" w:cs="仿宋_GB2312"/>
          <w:color w:val="000000"/>
          <w:kern w:val="0"/>
          <w:sz w:val="32"/>
          <w:szCs w:val="32"/>
        </w:rPr>
        <w:t>%。决算数大于</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预算数的主要原因是</w:t>
      </w:r>
      <w:r>
        <w:rPr>
          <w:rFonts w:hint="eastAsia" w:ascii="仿宋_GB2312" w:hAnsi="宋体" w:eastAsia="仿宋_GB2312" w:cs="仿宋_GB2312"/>
          <w:color w:val="000000"/>
          <w:kern w:val="0"/>
          <w:sz w:val="32"/>
          <w:szCs w:val="32"/>
          <w:lang w:val="en-US" w:eastAsia="zh-CN"/>
        </w:rPr>
        <w:t>2024年人员缴费基数调整，经费收支增加</w:t>
      </w:r>
      <w:r>
        <w:rPr>
          <w:rFonts w:hint="eastAsia" w:ascii="仿宋_GB2312" w:hAnsi="宋体" w:eastAsia="仿宋_GB2312" w:cs="仿宋_GB2312"/>
          <w:color w:val="000000"/>
          <w:kern w:val="0"/>
          <w:sz w:val="32"/>
          <w:szCs w:val="32"/>
        </w:rPr>
        <w:t>。</w:t>
      </w:r>
    </w:p>
    <w:p w14:paraId="1B49F731">
      <w:pPr>
        <w:keepNext w:val="0"/>
        <w:keepLines w:val="0"/>
        <w:pageBreakBefore w:val="0"/>
        <w:widowControl/>
        <w:kinsoku/>
        <w:wordWrap/>
        <w:overflowPunct/>
        <w:topLinePunct w:val="0"/>
        <w:autoSpaceDE/>
        <w:autoSpaceDN/>
        <w:bidi w:val="0"/>
        <w:adjustRightInd/>
        <w:snapToGrid/>
        <w:spacing w:line="240" w:lineRule="auto"/>
        <w:ind w:firstLine="643" w:firstLineChars="200"/>
        <w:jc w:val="left"/>
        <w:textAlignment w:val="auto"/>
        <w:rPr>
          <w:rFonts w:hint="default" w:ascii="仿宋_GB2312" w:hAnsi="宋体" w:eastAsia="仿宋_GB2312" w:cs="仿宋_GB2312"/>
          <w:color w:val="FF0000"/>
          <w:kern w:val="0"/>
          <w:sz w:val="32"/>
          <w:szCs w:val="32"/>
          <w:lang w:val="en-US" w:eastAsia="zh-CN"/>
        </w:rPr>
      </w:pPr>
      <w:r>
        <w:rPr>
          <w:rFonts w:hint="eastAsia" w:ascii="仿宋_GB2312" w:hAnsi="宋体" w:eastAsia="仿宋_GB2312" w:cs="仿宋_GB2312"/>
          <w:b/>
          <w:bCs/>
          <w:color w:val="FF0000"/>
          <w:kern w:val="0"/>
          <w:sz w:val="32"/>
          <w:szCs w:val="32"/>
          <w:lang w:val="en-US" w:eastAsia="zh-CN"/>
        </w:rPr>
        <w:t>3.一般公共服务支出（类）工程建设管理（款）城乡社区（项）。</w:t>
      </w:r>
    </w:p>
    <w:p w14:paraId="60724F2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w:t>
      </w:r>
      <w:r>
        <w:rPr>
          <w:rFonts w:hint="eastAsia" w:ascii="仿宋_GB2312" w:hAnsi="宋体" w:eastAsia="仿宋_GB2312" w:cs="仿宋_GB2312"/>
          <w:color w:val="000000"/>
          <w:kern w:val="0"/>
          <w:sz w:val="32"/>
          <w:szCs w:val="32"/>
          <w:lang w:val="en-US" w:eastAsia="zh-CN"/>
        </w:rPr>
        <w:t>338.35万元</w:t>
      </w:r>
      <w:r>
        <w:rPr>
          <w:rFonts w:ascii="仿宋_GB2312" w:hAnsi="宋体" w:eastAsia="仿宋_GB2312" w:cs="仿宋_GB2312"/>
          <w:color w:val="000000"/>
          <w:kern w:val="0"/>
          <w:sz w:val="32"/>
          <w:szCs w:val="32"/>
        </w:rPr>
        <w:t>，支出决算</w:t>
      </w:r>
      <w:r>
        <w:rPr>
          <w:rFonts w:hint="eastAsia" w:ascii="仿宋_GB2312" w:hAnsi="宋体" w:eastAsia="仿宋_GB2312" w:cs="仿宋_GB2312"/>
          <w:color w:val="000000"/>
          <w:kern w:val="0"/>
          <w:sz w:val="32"/>
          <w:szCs w:val="32"/>
          <w:lang w:val="en-US" w:eastAsia="zh-CN"/>
        </w:rPr>
        <w:t>324.79</w:t>
      </w:r>
      <w:r>
        <w:rPr>
          <w:rFonts w:ascii="仿宋_GB2312" w:hAnsi="宋体" w:eastAsia="仿宋_GB2312" w:cs="仿宋_GB2312"/>
          <w:color w:val="000000"/>
          <w:kern w:val="0"/>
          <w:sz w:val="32"/>
          <w:szCs w:val="32"/>
        </w:rPr>
        <w:t>万元，完成</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预算的</w:t>
      </w:r>
      <w:r>
        <w:rPr>
          <w:rFonts w:hint="eastAsia" w:ascii="仿宋_GB2312" w:hAnsi="宋体" w:eastAsia="仿宋_GB2312" w:cs="仿宋_GB2312"/>
          <w:color w:val="000000"/>
          <w:kern w:val="0"/>
          <w:sz w:val="32"/>
          <w:szCs w:val="32"/>
          <w:lang w:val="en-US" w:eastAsia="zh-CN"/>
        </w:rPr>
        <w:t>95.99</w:t>
      </w:r>
      <w:r>
        <w:rPr>
          <w:rFonts w:ascii="仿宋_GB2312" w:hAnsi="宋体" w:eastAsia="仿宋_GB2312" w:cs="仿宋_GB2312"/>
          <w:color w:val="000000"/>
          <w:kern w:val="0"/>
          <w:sz w:val="32"/>
          <w:szCs w:val="32"/>
        </w:rPr>
        <w:t>%。决算数</w:t>
      </w:r>
      <w:r>
        <w:rPr>
          <w:rFonts w:hint="eastAsia" w:ascii="仿宋_GB2312" w:hAnsi="宋体" w:eastAsia="仿宋_GB2312" w:cs="仿宋_GB2312"/>
          <w:color w:val="000000"/>
          <w:kern w:val="0"/>
          <w:sz w:val="32"/>
          <w:szCs w:val="32"/>
          <w:lang w:val="en-US" w:eastAsia="zh-CN"/>
        </w:rPr>
        <w:t>小于</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预算数的主要原因是</w:t>
      </w:r>
      <w:r>
        <w:rPr>
          <w:rFonts w:hint="eastAsia" w:ascii="仿宋_GB2312" w:hAnsi="宋体" w:eastAsia="仿宋_GB2312" w:cs="仿宋_GB2312"/>
          <w:color w:val="000000"/>
          <w:kern w:val="0"/>
          <w:sz w:val="32"/>
          <w:szCs w:val="32"/>
          <w:lang w:val="en-US" w:eastAsia="zh-CN"/>
        </w:rPr>
        <w:t>2024年因人员调动，经费收支减少</w:t>
      </w:r>
      <w:r>
        <w:rPr>
          <w:rFonts w:hint="eastAsia" w:ascii="仿宋_GB2312" w:hAnsi="宋体" w:eastAsia="仿宋_GB2312" w:cs="仿宋_GB2312"/>
          <w:color w:val="000000"/>
          <w:kern w:val="0"/>
          <w:sz w:val="32"/>
          <w:szCs w:val="32"/>
        </w:rPr>
        <w:t>。</w:t>
      </w:r>
    </w:p>
    <w:p w14:paraId="13B31B31">
      <w:pPr>
        <w:keepNext w:val="0"/>
        <w:keepLines w:val="0"/>
        <w:pageBreakBefore w:val="0"/>
        <w:widowControl/>
        <w:kinsoku/>
        <w:wordWrap/>
        <w:overflowPunct/>
        <w:topLinePunct w:val="0"/>
        <w:autoSpaceDE/>
        <w:autoSpaceDN/>
        <w:bidi w:val="0"/>
        <w:adjustRightInd/>
        <w:snapToGrid/>
        <w:spacing w:line="240" w:lineRule="auto"/>
        <w:ind w:firstLine="643" w:firstLineChars="200"/>
        <w:jc w:val="left"/>
        <w:textAlignment w:val="auto"/>
        <w:rPr>
          <w:rFonts w:hint="default" w:ascii="仿宋_GB2312" w:hAnsi="宋体" w:eastAsia="仿宋_GB2312" w:cs="仿宋_GB2312"/>
          <w:color w:val="FF0000"/>
          <w:kern w:val="0"/>
          <w:sz w:val="32"/>
          <w:szCs w:val="32"/>
          <w:lang w:val="en-US" w:eastAsia="zh-CN"/>
        </w:rPr>
      </w:pPr>
      <w:r>
        <w:rPr>
          <w:rFonts w:hint="eastAsia" w:ascii="仿宋_GB2312" w:hAnsi="宋体" w:eastAsia="仿宋_GB2312" w:cs="仿宋_GB2312"/>
          <w:b/>
          <w:bCs/>
          <w:color w:val="FF0000"/>
          <w:kern w:val="0"/>
          <w:sz w:val="32"/>
          <w:szCs w:val="32"/>
          <w:lang w:val="en-US" w:eastAsia="zh-CN"/>
        </w:rPr>
        <w:t>4.一般公共服务支出（类）工程建设管理（款）住房保障（项）。</w:t>
      </w:r>
    </w:p>
    <w:p w14:paraId="42F4991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en-US" w:eastAsia="zh-CN"/>
        </w:rPr>
        <w:t>住房保障支出</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w:t>
      </w:r>
      <w:r>
        <w:rPr>
          <w:rFonts w:hint="eastAsia" w:ascii="仿宋_GB2312" w:hAnsi="宋体" w:eastAsia="仿宋_GB2312" w:cs="仿宋_GB2312"/>
          <w:color w:val="000000"/>
          <w:kern w:val="0"/>
          <w:sz w:val="32"/>
          <w:szCs w:val="32"/>
          <w:lang w:val="en-US" w:eastAsia="zh-CN"/>
        </w:rPr>
        <w:t>17.39</w:t>
      </w:r>
      <w:r>
        <w:rPr>
          <w:rFonts w:ascii="仿宋_GB2312" w:hAnsi="宋体" w:eastAsia="仿宋_GB2312" w:cs="仿宋_GB2312"/>
          <w:color w:val="000000"/>
          <w:kern w:val="0"/>
          <w:sz w:val="32"/>
          <w:szCs w:val="32"/>
        </w:rPr>
        <w:t>万元，支出决算</w:t>
      </w:r>
      <w:r>
        <w:rPr>
          <w:rFonts w:hint="eastAsia" w:ascii="仿宋_GB2312" w:hAnsi="宋体" w:eastAsia="仿宋_GB2312" w:cs="仿宋_GB2312"/>
          <w:color w:val="000000"/>
          <w:kern w:val="0"/>
          <w:sz w:val="32"/>
          <w:szCs w:val="32"/>
          <w:lang w:val="en-US" w:eastAsia="zh-CN"/>
        </w:rPr>
        <w:t>15.72</w:t>
      </w:r>
      <w:r>
        <w:rPr>
          <w:rFonts w:ascii="仿宋_GB2312" w:hAnsi="宋体" w:eastAsia="仿宋_GB2312" w:cs="仿宋_GB2312"/>
          <w:color w:val="000000"/>
          <w:kern w:val="0"/>
          <w:sz w:val="32"/>
          <w:szCs w:val="32"/>
        </w:rPr>
        <w:t>万元，完成</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预算的</w:t>
      </w:r>
      <w:r>
        <w:rPr>
          <w:rFonts w:hint="eastAsia" w:ascii="仿宋_GB2312" w:hAnsi="宋体" w:eastAsia="仿宋_GB2312" w:cs="仿宋_GB2312"/>
          <w:color w:val="000000"/>
          <w:kern w:val="0"/>
          <w:sz w:val="32"/>
          <w:szCs w:val="32"/>
          <w:lang w:val="en-US" w:eastAsia="zh-CN"/>
        </w:rPr>
        <w:t>90.40</w:t>
      </w:r>
      <w:r>
        <w:rPr>
          <w:rFonts w:ascii="仿宋_GB2312" w:hAnsi="宋体" w:eastAsia="仿宋_GB2312" w:cs="仿宋_GB2312"/>
          <w:color w:val="000000"/>
          <w:kern w:val="0"/>
          <w:sz w:val="32"/>
          <w:szCs w:val="32"/>
        </w:rPr>
        <w:t>%。决算数大于</w:t>
      </w:r>
      <w:r>
        <w:rPr>
          <w:rFonts w:hint="eastAsia" w:ascii="仿宋_GB2312" w:hAnsi="宋体" w:eastAsia="仿宋_GB2312" w:cs="仿宋_GB2312"/>
          <w:color w:val="000000"/>
          <w:kern w:val="0"/>
          <w:sz w:val="32"/>
          <w:szCs w:val="32"/>
        </w:rPr>
        <w:t>年初</w:t>
      </w:r>
      <w:r>
        <w:rPr>
          <w:rFonts w:ascii="仿宋_GB2312" w:hAnsi="宋体" w:eastAsia="仿宋_GB2312" w:cs="仿宋_GB2312"/>
          <w:color w:val="000000"/>
          <w:kern w:val="0"/>
          <w:sz w:val="32"/>
          <w:szCs w:val="32"/>
        </w:rPr>
        <w:t>预算数的主要原因是</w:t>
      </w:r>
      <w:r>
        <w:rPr>
          <w:rFonts w:hint="eastAsia" w:ascii="仿宋_GB2312" w:hAnsi="宋体" w:eastAsia="仿宋_GB2312" w:cs="仿宋_GB2312"/>
          <w:color w:val="000000"/>
          <w:kern w:val="0"/>
          <w:sz w:val="32"/>
          <w:szCs w:val="32"/>
          <w:lang w:val="en-US" w:eastAsia="zh-CN"/>
        </w:rPr>
        <w:t>2024年因人员调动，经费收支减少</w:t>
      </w:r>
      <w:r>
        <w:rPr>
          <w:rFonts w:hint="eastAsia" w:ascii="仿宋_GB2312" w:hAnsi="宋体" w:eastAsia="仿宋_GB2312" w:cs="仿宋_GB2312"/>
          <w:color w:val="000000"/>
          <w:kern w:val="0"/>
          <w:sz w:val="32"/>
          <w:szCs w:val="32"/>
        </w:rPr>
        <w:t>。</w:t>
      </w:r>
    </w:p>
    <w:p w14:paraId="076FAEA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sz w:val="32"/>
          <w:szCs w:val="32"/>
        </w:rPr>
      </w:pPr>
      <w:r>
        <w:rPr>
          <w:rFonts w:hint="eastAsia" w:ascii="黑体" w:hAnsi="黑体" w:eastAsia="黑体"/>
          <w:color w:val="000000"/>
          <w:kern w:val="0"/>
          <w:sz w:val="32"/>
          <w:szCs w:val="32"/>
        </w:rPr>
        <w:t xml:space="preserve">六、一般公共预算财政拨款基本支出决算情况说明 </w:t>
      </w:r>
    </w:p>
    <w:p w14:paraId="71C9E84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 w:eastAsia="仿宋_GB2312"/>
          <w:sz w:val="32"/>
          <w:szCs w:val="32"/>
          <w:lang w:eastAsia="zh-CN"/>
        </w:rPr>
        <w:t>2024</w:t>
      </w:r>
      <w:r>
        <w:rPr>
          <w:rFonts w:hint="eastAsia" w:ascii="仿宋_GB2312" w:hAnsi="仿宋" w:eastAsia="仿宋_GB2312"/>
          <w:sz w:val="32"/>
          <w:szCs w:val="32"/>
        </w:rPr>
        <w:t>年度</w:t>
      </w:r>
      <w:r>
        <w:rPr>
          <w:rFonts w:ascii="仿宋_GB2312" w:hAnsi="仿宋_GB2312" w:eastAsia="仿宋_GB2312" w:cs="仿宋_GB2312"/>
          <w:color w:val="000000"/>
          <w:kern w:val="0"/>
          <w:sz w:val="32"/>
          <w:szCs w:val="32"/>
        </w:rPr>
        <w:t>一般公共预算财政拨款基本支出</w:t>
      </w:r>
      <w:r>
        <w:rPr>
          <w:rFonts w:hint="eastAsia" w:ascii="仿宋_GB2312" w:hAnsi="仿宋_GB2312" w:eastAsia="仿宋_GB2312" w:cs="仿宋_GB2312"/>
          <w:color w:val="000000"/>
          <w:kern w:val="0"/>
          <w:sz w:val="32"/>
          <w:szCs w:val="32"/>
          <w:lang w:val="en-US" w:eastAsia="zh-CN"/>
        </w:rPr>
        <w:t>179.11</w:t>
      </w:r>
      <w:r>
        <w:rPr>
          <w:rFonts w:ascii="仿宋_GB2312" w:hAnsi="仿宋_GB2312" w:eastAsia="仿宋_GB2312" w:cs="仿宋_GB2312"/>
          <w:color w:val="000000"/>
          <w:kern w:val="0"/>
          <w:sz w:val="32"/>
          <w:szCs w:val="32"/>
        </w:rPr>
        <w:t>万元，包括人员经费和公用经费。</w:t>
      </w:r>
      <w:r>
        <w:rPr>
          <w:rFonts w:hint="eastAsia" w:ascii="仿宋_GB2312" w:hAnsi="仿宋_GB2312" w:eastAsia="仿宋_GB2312" w:cs="仿宋_GB2312"/>
          <w:color w:val="000000"/>
          <w:kern w:val="0"/>
          <w:sz w:val="32"/>
          <w:szCs w:val="32"/>
        </w:rPr>
        <w:t>其中：</w:t>
      </w:r>
    </w:p>
    <w:p w14:paraId="3FFADE2C">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（一）</w:t>
      </w:r>
      <w:r>
        <w:rPr>
          <w:rFonts w:hint="eastAsia" w:ascii="仿宋_GB2312" w:hAnsi="仿宋" w:eastAsia="仿宋_GB2312"/>
          <w:b/>
          <w:bCs/>
          <w:sz w:val="32"/>
          <w:szCs w:val="32"/>
          <w:lang w:eastAsia="zh-CN"/>
        </w:rPr>
        <w:t>人员经费</w:t>
      </w:r>
      <w:r>
        <w:rPr>
          <w:rFonts w:hint="eastAsia" w:ascii="仿宋_GB2312" w:hAnsi="仿宋" w:eastAsia="仿宋_GB2312"/>
          <w:sz w:val="32"/>
          <w:szCs w:val="32"/>
          <w:lang w:val="en-US" w:eastAsia="zh-CN"/>
        </w:rPr>
        <w:t>175.90</w:t>
      </w:r>
      <w:r>
        <w:rPr>
          <w:rFonts w:hint="eastAsia" w:ascii="仿宋_GB2312" w:hAnsi="仿宋" w:eastAsia="仿宋_GB2312"/>
          <w:sz w:val="32"/>
          <w:szCs w:val="32"/>
          <w:lang w:eastAsia="zh-CN"/>
        </w:rPr>
        <w:t>万元，主要包括：基本工资、津贴补贴、</w:t>
      </w:r>
      <w:r>
        <w:rPr>
          <w:rFonts w:hint="eastAsia" w:ascii="仿宋_GB2312" w:hAnsi="仿宋" w:eastAsia="仿宋_GB2312"/>
          <w:sz w:val="32"/>
          <w:szCs w:val="32"/>
          <w:lang w:val="en-US" w:eastAsia="zh-CN"/>
        </w:rPr>
        <w:t>奖金、绩效工资、机关事业单位基本养老保险缴费、职业年金缴费、职工基本医疗保险缴费、其他社会保障缴费、住房公积金</w:t>
      </w:r>
      <w:r>
        <w:rPr>
          <w:rFonts w:hint="eastAsia" w:ascii="仿宋_GB2312" w:hAnsi="仿宋" w:eastAsia="仿宋_GB2312"/>
          <w:sz w:val="32"/>
          <w:szCs w:val="32"/>
          <w:lang w:eastAsia="zh-CN"/>
        </w:rPr>
        <w:t>。</w:t>
      </w:r>
    </w:p>
    <w:p w14:paraId="6B22735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（二）</w:t>
      </w:r>
      <w:r>
        <w:rPr>
          <w:rFonts w:hint="eastAsia" w:ascii="仿宋_GB2312" w:hAnsi="仿宋" w:eastAsia="仿宋_GB2312"/>
          <w:b/>
          <w:bCs/>
          <w:sz w:val="32"/>
          <w:szCs w:val="32"/>
          <w:lang w:eastAsia="zh-CN"/>
        </w:rPr>
        <w:t>公用经费</w:t>
      </w:r>
      <w:r>
        <w:rPr>
          <w:rFonts w:hint="eastAsia" w:ascii="仿宋_GB2312" w:hAnsi="仿宋" w:eastAsia="仿宋_GB2312"/>
          <w:sz w:val="32"/>
          <w:szCs w:val="32"/>
          <w:lang w:val="en-US" w:eastAsia="zh-CN"/>
        </w:rPr>
        <w:t>3.21</w:t>
      </w:r>
      <w:r>
        <w:rPr>
          <w:rFonts w:hint="eastAsia" w:ascii="仿宋_GB2312" w:hAnsi="仿宋" w:eastAsia="仿宋_GB2312"/>
          <w:sz w:val="32"/>
          <w:szCs w:val="32"/>
          <w:lang w:eastAsia="zh-CN"/>
        </w:rPr>
        <w:t>万元，主要包括：办公费、</w:t>
      </w:r>
      <w:r>
        <w:rPr>
          <w:rFonts w:hint="eastAsia" w:ascii="仿宋_GB2312" w:hAnsi="仿宋" w:eastAsia="仿宋_GB2312"/>
          <w:sz w:val="32"/>
          <w:szCs w:val="32"/>
          <w:lang w:val="en-US" w:eastAsia="zh-CN"/>
        </w:rPr>
        <w:t>水电费、差旅费、工会经费。</w:t>
      </w:r>
    </w:p>
    <w:p w14:paraId="2D8CF03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olor w:val="000000"/>
          <w:kern w:val="0"/>
          <w:sz w:val="32"/>
          <w:szCs w:val="32"/>
        </w:rPr>
      </w:pPr>
      <w:r>
        <w:rPr>
          <w:rFonts w:hint="eastAsia" w:ascii="黑体" w:hAnsi="黑体" w:eastAsia="黑体"/>
          <w:color w:val="000000"/>
          <w:kern w:val="0"/>
          <w:sz w:val="32"/>
          <w:szCs w:val="32"/>
        </w:rPr>
        <w:t xml:space="preserve">七、政府性基金预算财政拨款收入支出决算情况说明 </w:t>
      </w:r>
    </w:p>
    <w:p w14:paraId="689708B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本单位2024年度无政府性基金预算财政拨款收支，已公开空表。 </w:t>
      </w:r>
    </w:p>
    <w:p w14:paraId="47F606F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 xml:space="preserve"> </w:t>
      </w:r>
      <w:r>
        <w:rPr>
          <w:rFonts w:hint="eastAsia" w:ascii="仿宋" w:hAnsi="仿宋" w:eastAsia="仿宋" w:cs="仿宋"/>
          <w:color w:val="000000"/>
          <w:kern w:val="0"/>
          <w:sz w:val="32"/>
          <w:szCs w:val="32"/>
          <w:lang w:val="en-US" w:eastAsia="zh-CN"/>
        </w:rPr>
        <w:t xml:space="preserve"> </w:t>
      </w:r>
    </w:p>
    <w:p w14:paraId="038F515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黑体" w:hAnsi="黑体" w:eastAsia="黑体"/>
          <w:color w:val="000000"/>
          <w:kern w:val="0"/>
          <w:sz w:val="32"/>
          <w:szCs w:val="32"/>
        </w:rPr>
      </w:pPr>
    </w:p>
    <w:p w14:paraId="4138593F">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黑体" w:hAnsi="黑体" w:eastAsia="黑体"/>
          <w:color w:val="000000"/>
          <w:kern w:val="0"/>
          <w:sz w:val="32"/>
          <w:szCs w:val="32"/>
        </w:rPr>
      </w:pPr>
      <w:r>
        <w:rPr>
          <w:rFonts w:hint="eastAsia" w:ascii="黑体" w:hAnsi="黑体" w:eastAsia="黑体"/>
          <w:color w:val="000000"/>
          <w:kern w:val="0"/>
          <w:sz w:val="32"/>
          <w:szCs w:val="32"/>
        </w:rPr>
        <w:t>八、国有资本经营预算财政拨款支出决算情况说明</w:t>
      </w:r>
    </w:p>
    <w:p w14:paraId="530D6827">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本单位2024年度无国有资本经营预算财政拨款收支，已公开空表。</w:t>
      </w:r>
    </w:p>
    <w:p w14:paraId="30A814E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olor w:val="000000"/>
          <w:kern w:val="0"/>
          <w:sz w:val="32"/>
          <w:szCs w:val="32"/>
        </w:rPr>
      </w:pPr>
      <w:r>
        <w:rPr>
          <w:rFonts w:hint="eastAsia" w:ascii="黑体" w:hAnsi="黑体" w:eastAsia="黑体"/>
          <w:color w:val="000000"/>
          <w:kern w:val="0"/>
          <w:sz w:val="32"/>
          <w:szCs w:val="32"/>
        </w:rPr>
        <w:t xml:space="preserve">九、财政拨款“三公”经费及会议费、培训费支出决算情况说明 </w:t>
      </w:r>
    </w:p>
    <w:p w14:paraId="07DBDD55">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sz w:val="32"/>
          <w:szCs w:val="32"/>
        </w:rPr>
      </w:pPr>
      <w:r>
        <w:rPr>
          <w:rFonts w:hint="eastAsia" w:ascii="楷体" w:hAnsi="楷体" w:eastAsia="楷体" w:cs="楷体"/>
          <w:bCs/>
          <w:color w:val="000000"/>
          <w:kern w:val="0"/>
          <w:sz w:val="32"/>
          <w:szCs w:val="32"/>
        </w:rPr>
        <w:t>（一）“三公”经费支出决算情况说明</w:t>
      </w:r>
      <w:r>
        <w:rPr>
          <w:rFonts w:ascii="楷体_GB2312" w:hAnsi="宋体" w:eastAsia="楷体_GB2312" w:cs="楷体_GB2312"/>
          <w:b/>
          <w:color w:val="000000"/>
          <w:kern w:val="0"/>
          <w:sz w:val="32"/>
          <w:szCs w:val="32"/>
        </w:rPr>
        <w:t xml:space="preserve"> </w:t>
      </w:r>
    </w:p>
    <w:p w14:paraId="6DD6D7D7">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本单位2024年度无财政拨款“三公”经费及会议费、培训费支出，已公开空表。</w:t>
      </w:r>
    </w:p>
    <w:p w14:paraId="5609B47D">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highlight w:val="none"/>
        </w:rPr>
        <w:t>1.因公出国（境）费支出情况</w:t>
      </w:r>
      <w:r>
        <w:rPr>
          <w:rFonts w:hint="eastAsia" w:ascii="楷体" w:hAnsi="楷体" w:eastAsia="楷体" w:cs="楷体"/>
          <w:color w:val="000000"/>
          <w:kern w:val="0"/>
          <w:sz w:val="32"/>
          <w:szCs w:val="32"/>
          <w:highlight w:val="none"/>
        </w:rPr>
        <w:t>说明</w:t>
      </w:r>
    </w:p>
    <w:p w14:paraId="1F07619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本年度无财政拨款因公出国（境）费支出。</w:t>
      </w:r>
    </w:p>
    <w:p w14:paraId="7AFCD42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2.公务用车购置费支出情况</w:t>
      </w:r>
      <w:r>
        <w:rPr>
          <w:rFonts w:hint="eastAsia" w:ascii="楷体" w:hAnsi="楷体" w:eastAsia="楷体" w:cs="楷体"/>
          <w:color w:val="000000"/>
          <w:kern w:val="0"/>
          <w:sz w:val="32"/>
          <w:szCs w:val="32"/>
          <w:highlight w:val="none"/>
        </w:rPr>
        <w:t>说明</w:t>
      </w:r>
    </w:p>
    <w:p w14:paraId="36A50B8F">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本年度无财政拨款公务用车购置费支出。</w:t>
      </w:r>
    </w:p>
    <w:p w14:paraId="4CA24B8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3.公务用车运行维护费支出情况</w:t>
      </w:r>
      <w:r>
        <w:rPr>
          <w:rFonts w:hint="eastAsia" w:ascii="楷体" w:hAnsi="楷体" w:eastAsia="楷体" w:cs="楷体"/>
          <w:color w:val="000000"/>
          <w:kern w:val="0"/>
          <w:sz w:val="32"/>
          <w:szCs w:val="32"/>
          <w:highlight w:val="none"/>
        </w:rPr>
        <w:t>说明</w:t>
      </w:r>
    </w:p>
    <w:p w14:paraId="4E8CA962">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 w:hAnsi="仿宋" w:eastAsia="仿宋" w:cs="仿宋"/>
          <w:iCs/>
          <w:color w:val="auto"/>
          <w:kern w:val="0"/>
          <w:sz w:val="32"/>
          <w:szCs w:val="32"/>
          <w:highlight w:val="none"/>
        </w:rPr>
      </w:pPr>
      <w:r>
        <w:rPr>
          <w:rFonts w:hint="eastAsia" w:ascii="仿宋_GB2312" w:hAnsi="仿宋_GB2312" w:eastAsia="仿宋_GB2312" w:cs="仿宋_GB2312"/>
          <w:sz w:val="32"/>
          <w:szCs w:val="32"/>
          <w:lang w:val="en-US" w:eastAsia="zh-CN"/>
        </w:rPr>
        <w:t>本年度无财政拨款公务用车运行维护费支出。</w:t>
      </w:r>
    </w:p>
    <w:p w14:paraId="4AA4E85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4.公务接待费支出情况</w:t>
      </w:r>
      <w:r>
        <w:rPr>
          <w:rFonts w:hint="eastAsia" w:ascii="楷体" w:hAnsi="楷体" w:eastAsia="楷体" w:cs="楷体"/>
          <w:color w:val="000000"/>
          <w:kern w:val="0"/>
          <w:sz w:val="32"/>
          <w:szCs w:val="32"/>
        </w:rPr>
        <w:t>说明</w:t>
      </w:r>
    </w:p>
    <w:p w14:paraId="126AC044">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本年度无财政拨款公务接待费支出。</w:t>
      </w:r>
    </w:p>
    <w:p w14:paraId="75E5E459">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楷体_GB2312" w:hAnsi="宋体" w:eastAsia="楷体_GB2312" w:cs="楷体_GB2312"/>
          <w:bCs/>
          <w:color w:val="000000"/>
          <w:kern w:val="0"/>
          <w:sz w:val="32"/>
          <w:szCs w:val="32"/>
          <w:highlight w:val="none"/>
        </w:rPr>
      </w:pPr>
      <w:r>
        <w:rPr>
          <w:rFonts w:hint="eastAsia" w:ascii="楷体_GB2312" w:hAnsi="宋体" w:eastAsia="楷体_GB2312" w:cs="楷体_GB2312"/>
          <w:bCs/>
          <w:color w:val="000000"/>
          <w:kern w:val="0"/>
          <w:sz w:val="32"/>
          <w:szCs w:val="32"/>
          <w:highlight w:val="none"/>
        </w:rPr>
        <w:t>（二）培训费支出情况说明</w:t>
      </w:r>
    </w:p>
    <w:p w14:paraId="723C8031">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本年度无财政拨款培训费支出。</w:t>
      </w:r>
    </w:p>
    <w:p w14:paraId="3B7397A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Cs/>
          <w:color w:val="000000"/>
          <w:kern w:val="0"/>
          <w:sz w:val="32"/>
          <w:szCs w:val="32"/>
          <w:highlight w:val="none"/>
        </w:rPr>
      </w:pPr>
      <w:r>
        <w:rPr>
          <w:rFonts w:hint="eastAsia" w:ascii="楷体" w:hAnsi="楷体" w:eastAsia="楷体" w:cs="楷体"/>
          <w:bCs/>
          <w:color w:val="000000"/>
          <w:kern w:val="0"/>
          <w:sz w:val="32"/>
          <w:szCs w:val="32"/>
          <w:highlight w:val="none"/>
        </w:rPr>
        <w:t>（三）会议费支出情况说明</w:t>
      </w:r>
    </w:p>
    <w:p w14:paraId="229AF27A">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本年度无财政拨款会议费支出。</w:t>
      </w:r>
    </w:p>
    <w:p w14:paraId="3689815F">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highlight w:val="none"/>
        </w:rPr>
      </w:pPr>
      <w:r>
        <w:rPr>
          <w:rFonts w:hint="eastAsia" w:ascii="黑体" w:hAnsi="黑体" w:eastAsia="黑体"/>
          <w:color w:val="000000"/>
          <w:kern w:val="0"/>
          <w:sz w:val="32"/>
          <w:szCs w:val="32"/>
          <w:highlight w:val="none"/>
        </w:rPr>
        <w:t>十、机关运行经费支出情况说明</w:t>
      </w:r>
    </w:p>
    <w:p w14:paraId="40EC2E9A">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本单位2024年度无机关运行经费支出。</w:t>
      </w:r>
    </w:p>
    <w:p w14:paraId="2E963E89">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楷体" w:hAnsi="楷体" w:eastAsia="楷体" w:cs="楷体"/>
          <w:iCs/>
          <w:color w:val="auto"/>
          <w:kern w:val="0"/>
          <w:sz w:val="32"/>
          <w:szCs w:val="32"/>
          <w:highlight w:val="none"/>
        </w:rPr>
      </w:pPr>
      <w:r>
        <w:rPr>
          <w:rFonts w:hint="eastAsia" w:ascii="黑体" w:hAnsi="黑体" w:eastAsia="黑体"/>
          <w:color w:val="000000"/>
          <w:kern w:val="0"/>
          <w:sz w:val="32"/>
          <w:szCs w:val="32"/>
          <w:highlight w:val="none"/>
        </w:rPr>
        <w:t>十一、政府采购支出情况说明</w:t>
      </w:r>
    </w:p>
    <w:p w14:paraId="0D6DFC12">
      <w:pPr>
        <w:keepNext w:val="0"/>
        <w:keepLines w:val="0"/>
        <w:pageBreakBefore w:val="0"/>
        <w:widowControl/>
        <w:kinsoku/>
        <w:wordWrap/>
        <w:overflowPunct/>
        <w:topLinePunct w:val="0"/>
        <w:autoSpaceDE/>
        <w:autoSpaceDN/>
        <w:bidi w:val="0"/>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本单位202</w:t>
      </w:r>
      <w:r>
        <w:rPr>
          <w:rFonts w:hint="eastAsia" w:ascii="仿宋_GB2312" w:hAnsi="仿宋_GB2312" w:eastAsia="仿宋_GB2312" w:cs="仿宋_GB2312"/>
          <w:iCs/>
          <w:color w:val="auto"/>
          <w:kern w:val="0"/>
          <w:sz w:val="32"/>
          <w:szCs w:val="32"/>
          <w:highlight w:val="none"/>
          <w:lang w:val="en-US" w:eastAsia="zh-CN"/>
        </w:rPr>
        <w:t>4</w:t>
      </w:r>
      <w:r>
        <w:rPr>
          <w:rFonts w:hint="eastAsia" w:ascii="仿宋_GB2312" w:hAnsi="仿宋_GB2312" w:eastAsia="仿宋_GB2312" w:cs="仿宋_GB2312"/>
          <w:iCs/>
          <w:color w:val="auto"/>
          <w:kern w:val="0"/>
          <w:sz w:val="32"/>
          <w:szCs w:val="32"/>
          <w:highlight w:val="none"/>
        </w:rPr>
        <w:t>年度无政府采购事项。</w:t>
      </w:r>
    </w:p>
    <w:p w14:paraId="019A4731">
      <w:pPr>
        <w:keepNext w:val="0"/>
        <w:keepLines w:val="0"/>
        <w:pageBreakBefore w:val="0"/>
        <w:widowControl/>
        <w:kinsoku/>
        <w:wordWrap/>
        <w:overflowPunct/>
        <w:topLinePunct w:val="0"/>
        <w:autoSpaceDE/>
        <w:autoSpaceDN/>
        <w:bidi w:val="0"/>
        <w:spacing w:line="240" w:lineRule="auto"/>
        <w:ind w:firstLine="640" w:firstLineChars="200"/>
        <w:jc w:val="left"/>
        <w:textAlignment w:val="auto"/>
        <w:rPr>
          <w:rFonts w:hint="eastAsia" w:ascii="黑体" w:hAnsi="黑体" w:eastAsia="黑体"/>
          <w:color w:val="000000"/>
          <w:kern w:val="0"/>
          <w:sz w:val="32"/>
          <w:szCs w:val="32"/>
          <w:highlight w:val="none"/>
        </w:rPr>
      </w:pPr>
      <w:r>
        <w:rPr>
          <w:rFonts w:hint="eastAsia" w:ascii="黑体" w:hAnsi="黑体" w:eastAsia="黑体"/>
          <w:color w:val="000000"/>
          <w:kern w:val="0"/>
          <w:sz w:val="32"/>
          <w:szCs w:val="32"/>
          <w:highlight w:val="none"/>
        </w:rPr>
        <w:t>十二、国有资产占用及购置情况说明</w:t>
      </w:r>
    </w:p>
    <w:p w14:paraId="1E276908">
      <w:pPr>
        <w:keepNext w:val="0"/>
        <w:keepLines w:val="0"/>
        <w:pageBreakBefore w:val="0"/>
        <w:widowControl/>
        <w:kinsoku/>
        <w:wordWrap/>
        <w:overflowPunct/>
        <w:topLinePunct w:val="0"/>
        <w:autoSpaceDE/>
        <w:autoSpaceDN/>
        <w:bidi w:val="0"/>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本单位202</w:t>
      </w:r>
      <w:r>
        <w:rPr>
          <w:rFonts w:hint="eastAsia" w:ascii="仿宋_GB2312" w:hAnsi="仿宋_GB2312" w:eastAsia="仿宋_GB2312" w:cs="仿宋_GB2312"/>
          <w:iCs/>
          <w:color w:val="auto"/>
          <w:kern w:val="0"/>
          <w:sz w:val="32"/>
          <w:szCs w:val="32"/>
          <w:highlight w:val="none"/>
          <w:lang w:val="en-US" w:eastAsia="zh-CN"/>
        </w:rPr>
        <w:t>4</w:t>
      </w:r>
      <w:r>
        <w:rPr>
          <w:rFonts w:hint="eastAsia" w:ascii="仿宋_GB2312" w:hAnsi="仿宋_GB2312" w:eastAsia="仿宋_GB2312" w:cs="仿宋_GB2312"/>
          <w:iCs/>
          <w:color w:val="auto"/>
          <w:kern w:val="0"/>
          <w:sz w:val="32"/>
          <w:szCs w:val="32"/>
          <w:highlight w:val="none"/>
        </w:rPr>
        <w:t>年度无国有资产占用及购置。</w:t>
      </w:r>
    </w:p>
    <w:p w14:paraId="43B4A07D">
      <w:pPr>
        <w:keepNext w:val="0"/>
        <w:keepLines w:val="0"/>
        <w:pageBreakBefore w:val="0"/>
        <w:widowControl/>
        <w:kinsoku/>
        <w:wordWrap/>
        <w:overflowPunct/>
        <w:topLinePunct w:val="0"/>
        <w:autoSpaceDE/>
        <w:autoSpaceDN/>
        <w:bidi w:val="0"/>
        <w:spacing w:line="240" w:lineRule="auto"/>
        <w:ind w:firstLine="640" w:firstLineChars="200"/>
        <w:jc w:val="left"/>
        <w:textAlignment w:val="auto"/>
        <w:rPr>
          <w:rFonts w:hint="eastAsia" w:ascii="黑体" w:hAnsi="黑体" w:eastAsia="黑体"/>
          <w:color w:val="000000"/>
          <w:kern w:val="0"/>
          <w:sz w:val="32"/>
          <w:szCs w:val="32"/>
          <w:highlight w:val="none"/>
        </w:rPr>
      </w:pPr>
      <w:r>
        <w:rPr>
          <w:rFonts w:hint="eastAsia" w:ascii="黑体" w:hAnsi="黑体" w:eastAsia="黑体"/>
          <w:color w:val="000000"/>
          <w:kern w:val="0"/>
          <w:sz w:val="32"/>
          <w:szCs w:val="32"/>
          <w:highlight w:val="none"/>
        </w:rPr>
        <w:t>十三、预算绩效情况说明</w:t>
      </w:r>
    </w:p>
    <w:p w14:paraId="72E7B87D">
      <w:pPr>
        <w:keepNext w:val="0"/>
        <w:keepLines w:val="0"/>
        <w:pageBreakBefore w:val="0"/>
        <w:widowControl/>
        <w:kinsoku/>
        <w:wordWrap/>
        <w:overflowPunct/>
        <w:topLinePunct w:val="0"/>
        <w:autoSpaceDE/>
        <w:autoSpaceDN/>
        <w:bidi w:val="0"/>
        <w:spacing w:line="240" w:lineRule="auto"/>
        <w:ind w:firstLine="640"/>
        <w:jc w:val="left"/>
        <w:textAlignment w:val="auto"/>
        <w:rPr>
          <w:rFonts w:ascii="楷体_GB2312" w:hAnsi="宋体" w:eastAsia="楷体_GB2312" w:cs="楷体_GB2312"/>
          <w:bCs/>
          <w:color w:val="000000"/>
          <w:kern w:val="0"/>
          <w:sz w:val="32"/>
          <w:szCs w:val="32"/>
        </w:rPr>
      </w:pPr>
      <w:r>
        <w:rPr>
          <w:rFonts w:hint="eastAsia" w:ascii="楷体_GB2312" w:hAnsi="宋体" w:eastAsia="楷体_GB2312" w:cs="楷体_GB2312"/>
          <w:bCs/>
          <w:color w:val="000000"/>
          <w:kern w:val="0"/>
          <w:sz w:val="32"/>
          <w:szCs w:val="32"/>
        </w:rPr>
        <w:t>（一）</w:t>
      </w:r>
      <w:r>
        <w:rPr>
          <w:rFonts w:ascii="楷体_GB2312" w:hAnsi="宋体" w:eastAsia="楷体_GB2312" w:cs="楷体_GB2312"/>
          <w:bCs/>
          <w:color w:val="000000"/>
          <w:kern w:val="0"/>
          <w:sz w:val="32"/>
          <w:szCs w:val="32"/>
        </w:rPr>
        <w:t>预算绩效管理工作开展情况</w:t>
      </w:r>
      <w:r>
        <w:rPr>
          <w:rFonts w:hint="eastAsia" w:ascii="楷体_GB2312" w:hAnsi="宋体" w:eastAsia="楷体_GB2312" w:cs="楷体_GB2312"/>
          <w:bCs/>
          <w:color w:val="000000"/>
          <w:kern w:val="0"/>
          <w:sz w:val="32"/>
          <w:szCs w:val="32"/>
        </w:rPr>
        <w:t>说明</w:t>
      </w:r>
    </w:p>
    <w:p w14:paraId="6EEA7CA2">
      <w:pPr>
        <w:keepNext w:val="0"/>
        <w:keepLines w:val="0"/>
        <w:pageBreakBefore w:val="0"/>
        <w:widowControl/>
        <w:kinsoku/>
        <w:wordWrap/>
        <w:overflowPunct/>
        <w:topLinePunct w:val="0"/>
        <w:autoSpaceDE/>
        <w:autoSpaceDN/>
        <w:bidi w:val="0"/>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根据预算绩效管理要求，本</w:t>
      </w:r>
      <w:r>
        <w:rPr>
          <w:rFonts w:hint="eastAsia" w:ascii="仿宋_GB2312" w:hAnsi="仿宋_GB2312" w:eastAsia="仿宋_GB2312" w:cs="仿宋_GB2312"/>
          <w:iCs/>
          <w:color w:val="auto"/>
          <w:kern w:val="0"/>
          <w:sz w:val="32"/>
          <w:szCs w:val="32"/>
          <w:highlight w:val="none"/>
          <w:lang w:val="en-US" w:eastAsia="zh-CN"/>
        </w:rPr>
        <w:t>单位</w:t>
      </w:r>
      <w:r>
        <w:rPr>
          <w:rFonts w:hint="eastAsia" w:ascii="仿宋_GB2312" w:hAnsi="仿宋_GB2312" w:eastAsia="仿宋_GB2312" w:cs="仿宋_GB2312"/>
          <w:iCs/>
          <w:color w:val="auto"/>
          <w:kern w:val="0"/>
          <w:sz w:val="32"/>
          <w:szCs w:val="32"/>
          <w:highlight w:val="none"/>
        </w:rPr>
        <w:t>组织开展了202</w:t>
      </w:r>
      <w:r>
        <w:rPr>
          <w:rFonts w:hint="eastAsia" w:ascii="仿宋_GB2312" w:hAnsi="仿宋_GB2312" w:eastAsia="仿宋_GB2312" w:cs="仿宋_GB2312"/>
          <w:iCs/>
          <w:color w:val="auto"/>
          <w:kern w:val="0"/>
          <w:sz w:val="32"/>
          <w:szCs w:val="32"/>
          <w:highlight w:val="none"/>
          <w:lang w:val="en-US" w:eastAsia="zh-CN"/>
        </w:rPr>
        <w:t>4</w:t>
      </w:r>
      <w:r>
        <w:rPr>
          <w:rFonts w:hint="eastAsia" w:ascii="仿宋_GB2312" w:hAnsi="仿宋_GB2312" w:eastAsia="仿宋_GB2312" w:cs="仿宋_GB2312"/>
          <w:iCs/>
          <w:color w:val="auto"/>
          <w:kern w:val="0"/>
          <w:sz w:val="32"/>
          <w:szCs w:val="32"/>
          <w:highlight w:val="none"/>
        </w:rPr>
        <w:t>年度</w:t>
      </w:r>
      <w:r>
        <w:rPr>
          <w:rFonts w:hint="eastAsia" w:ascii="仿宋_GB2312" w:hAnsi="仿宋_GB2312" w:eastAsia="仿宋_GB2312" w:cs="仿宋_GB2312"/>
          <w:iCs/>
          <w:color w:val="auto"/>
          <w:kern w:val="0"/>
          <w:sz w:val="32"/>
          <w:szCs w:val="32"/>
          <w:highlight w:val="none"/>
          <w:lang w:val="en-US" w:eastAsia="zh-CN"/>
        </w:rPr>
        <w:t>单位专项资金</w:t>
      </w:r>
      <w:r>
        <w:rPr>
          <w:rFonts w:hint="eastAsia" w:ascii="仿宋_GB2312" w:hAnsi="仿宋_GB2312" w:eastAsia="仿宋_GB2312" w:cs="仿宋_GB2312"/>
          <w:iCs/>
          <w:color w:val="auto"/>
          <w:kern w:val="0"/>
          <w:sz w:val="32"/>
          <w:szCs w:val="32"/>
          <w:highlight w:val="none"/>
        </w:rPr>
        <w:t>绩效自评工作，从评价情况来看，本单位支出资金能够严格按照下达预算文件要求和财政资金管理及项目资金的管理的有关文件规范严格执行，项目执行达到预期效果。</w:t>
      </w:r>
    </w:p>
    <w:p w14:paraId="3E8E531B">
      <w:pPr>
        <w:keepNext w:val="0"/>
        <w:keepLines w:val="0"/>
        <w:pageBreakBefore w:val="0"/>
        <w:widowControl/>
        <w:kinsoku/>
        <w:wordWrap/>
        <w:overflowPunct/>
        <w:topLinePunct w:val="0"/>
        <w:autoSpaceDE/>
        <w:autoSpaceDN/>
        <w:bidi w:val="0"/>
        <w:spacing w:line="240" w:lineRule="auto"/>
        <w:ind w:firstLine="640"/>
        <w:jc w:val="left"/>
        <w:textAlignment w:val="auto"/>
        <w:rPr>
          <w:rFonts w:hint="eastAsia" w:ascii="仿宋_GB2312" w:hAnsi="仿宋_GB2312" w:eastAsia="仿宋_GB2312" w:cs="仿宋_GB2312"/>
          <w:iCs/>
          <w:color w:val="auto"/>
          <w:kern w:val="0"/>
          <w:sz w:val="32"/>
          <w:szCs w:val="32"/>
          <w:highlight w:val="none"/>
          <w:lang w:eastAsia="zh-CN"/>
        </w:rPr>
      </w:pPr>
      <w:r>
        <w:rPr>
          <w:rFonts w:hint="eastAsia" w:ascii="仿宋_GB2312" w:hAnsi="仿宋_GB2312" w:eastAsia="仿宋_GB2312" w:cs="仿宋_GB2312"/>
          <w:iCs/>
          <w:color w:val="auto"/>
          <w:kern w:val="0"/>
          <w:sz w:val="32"/>
          <w:szCs w:val="32"/>
          <w:highlight w:val="none"/>
          <w:lang w:eastAsia="zh-CN"/>
        </w:rPr>
        <w:t>本单位2024年度不单独填写绩效自评表。</w:t>
      </w:r>
    </w:p>
    <w:p w14:paraId="10AE0953">
      <w:pPr>
        <w:keepNext w:val="0"/>
        <w:keepLines w:val="0"/>
        <w:pageBreakBefore w:val="0"/>
        <w:widowControl/>
        <w:numPr>
          <w:ilvl w:val="0"/>
          <w:numId w:val="1"/>
        </w:numPr>
        <w:kinsoku/>
        <w:wordWrap/>
        <w:overflowPunct/>
        <w:topLinePunct w:val="0"/>
        <w:autoSpaceDE/>
        <w:autoSpaceDN/>
        <w:bidi w:val="0"/>
        <w:spacing w:line="240" w:lineRule="auto"/>
        <w:ind w:firstLine="640"/>
        <w:jc w:val="left"/>
        <w:textAlignment w:val="auto"/>
        <w:rPr>
          <w:rFonts w:hint="eastAsia" w:ascii="楷体_GB2312" w:hAnsi="宋体" w:eastAsia="楷体_GB2312" w:cs="楷体_GB2312"/>
          <w:bCs/>
          <w:color w:val="000000"/>
          <w:kern w:val="0"/>
          <w:sz w:val="32"/>
          <w:szCs w:val="32"/>
        </w:rPr>
      </w:pPr>
      <w:r>
        <w:rPr>
          <w:rFonts w:hint="eastAsia" w:ascii="楷体_GB2312" w:hAnsi="宋体" w:eastAsia="楷体_GB2312" w:cs="楷体_GB2312"/>
          <w:bCs/>
          <w:color w:val="000000"/>
          <w:kern w:val="0"/>
          <w:sz w:val="32"/>
          <w:szCs w:val="32"/>
        </w:rPr>
        <w:t>部门整体支出绩效自评结果</w:t>
      </w:r>
    </w:p>
    <w:p w14:paraId="1211DECB">
      <w:pPr>
        <w:keepNext w:val="0"/>
        <w:keepLines w:val="0"/>
        <w:pageBreakBefore w:val="0"/>
        <w:widowControl/>
        <w:kinsoku/>
        <w:wordWrap/>
        <w:overflowPunct/>
        <w:topLinePunct w:val="0"/>
        <w:autoSpaceDE/>
        <w:autoSpaceDN/>
        <w:bidi w:val="0"/>
        <w:spacing w:line="240" w:lineRule="auto"/>
        <w:ind w:firstLine="640"/>
        <w:jc w:val="left"/>
        <w:textAlignment w:val="auto"/>
        <w:rPr>
          <w:rFonts w:hint="eastAsia" w:ascii="仿宋_GB2312" w:hAnsi="仿宋_GB2312" w:eastAsia="仿宋_GB2312" w:cs="仿宋_GB2312"/>
          <w:iCs/>
          <w:color w:val="FF0000"/>
          <w:kern w:val="0"/>
          <w:sz w:val="32"/>
          <w:szCs w:val="32"/>
          <w:highlight w:val="none"/>
          <w:lang w:eastAsia="zh-CN"/>
        </w:rPr>
      </w:pPr>
      <w:r>
        <w:rPr>
          <w:rFonts w:hint="eastAsia" w:ascii="仿宋_GB2312" w:hAnsi="仿宋_GB2312" w:eastAsia="仿宋_GB2312" w:cs="仿宋_GB2312"/>
          <w:iCs/>
          <w:color w:val="FF0000"/>
          <w:kern w:val="0"/>
          <w:sz w:val="32"/>
          <w:szCs w:val="32"/>
          <w:highlight w:val="none"/>
          <w:lang w:eastAsia="zh-CN"/>
        </w:rPr>
        <w:t>模板：</w:t>
      </w:r>
      <w:r>
        <w:rPr>
          <w:rFonts w:hint="eastAsia" w:ascii="仿宋_GB2312" w:hAnsi="仿宋_GB2312" w:eastAsia="仿宋_GB2312" w:cs="仿宋_GB2312"/>
          <w:iCs/>
          <w:color w:val="FF0000"/>
          <w:kern w:val="0"/>
          <w:sz w:val="32"/>
          <w:szCs w:val="32"/>
          <w:highlight w:val="none"/>
        </w:rPr>
        <w:t>根据年度设定的绩效目标，部门整体支出自评得分**，全年预算数**万元，执行数**万元，完成预算的**%。本年度本部门总体运行情况及取得的成绩：……。发现的问题及原因：……。下一步改进措施：……。</w:t>
      </w:r>
    </w:p>
    <w:p w14:paraId="78BC0850">
      <w:pPr>
        <w:keepNext w:val="0"/>
        <w:keepLines w:val="0"/>
        <w:pageBreakBefore w:val="0"/>
        <w:widowControl/>
        <w:kinsoku/>
        <w:wordWrap/>
        <w:overflowPunct/>
        <w:topLinePunct w:val="0"/>
        <w:autoSpaceDE/>
        <w:autoSpaceDN/>
        <w:bidi w:val="0"/>
        <w:spacing w:line="240" w:lineRule="auto"/>
        <w:ind w:firstLine="640"/>
        <w:jc w:val="left"/>
        <w:textAlignment w:val="auto"/>
        <w:rPr>
          <w:rFonts w:hint="eastAsia" w:ascii="楷体_GB2312" w:hAnsi="宋体" w:eastAsia="楷体_GB2312" w:cs="楷体_GB2312"/>
          <w:bCs/>
          <w:color w:val="000000"/>
          <w:kern w:val="0"/>
          <w:sz w:val="32"/>
          <w:szCs w:val="32"/>
        </w:rPr>
      </w:pPr>
      <w:r>
        <w:rPr>
          <w:rFonts w:hint="eastAsia" w:ascii="楷体_GB2312" w:hAnsi="宋体" w:eastAsia="楷体_GB2312" w:cs="楷体_GB2312"/>
          <w:bCs/>
          <w:color w:val="000000"/>
          <w:kern w:val="0"/>
          <w:sz w:val="32"/>
          <w:szCs w:val="32"/>
        </w:rPr>
        <w:t>（三）项目绩效自评结果</w:t>
      </w:r>
    </w:p>
    <w:p w14:paraId="0EB37E0D">
      <w:pPr>
        <w:keepNext w:val="0"/>
        <w:keepLines w:val="0"/>
        <w:pageBreakBefore w:val="0"/>
        <w:widowControl/>
        <w:kinsoku/>
        <w:wordWrap/>
        <w:overflowPunct/>
        <w:topLinePunct w:val="0"/>
        <w:autoSpaceDE/>
        <w:autoSpaceDN/>
        <w:bidi w:val="0"/>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本单位202</w:t>
      </w:r>
      <w:r>
        <w:rPr>
          <w:rFonts w:hint="eastAsia" w:ascii="仿宋_GB2312" w:hAnsi="仿宋_GB2312" w:eastAsia="仿宋_GB2312" w:cs="仿宋_GB2312"/>
          <w:iCs/>
          <w:color w:val="auto"/>
          <w:kern w:val="0"/>
          <w:sz w:val="32"/>
          <w:szCs w:val="32"/>
          <w:highlight w:val="none"/>
          <w:lang w:val="en-US" w:eastAsia="zh-CN"/>
        </w:rPr>
        <w:t>4</w:t>
      </w:r>
      <w:r>
        <w:rPr>
          <w:rFonts w:hint="eastAsia" w:ascii="仿宋_GB2312" w:hAnsi="仿宋_GB2312" w:eastAsia="仿宋_GB2312" w:cs="仿宋_GB2312"/>
          <w:iCs/>
          <w:color w:val="auto"/>
          <w:kern w:val="0"/>
          <w:sz w:val="32"/>
          <w:szCs w:val="32"/>
          <w:highlight w:val="none"/>
        </w:rPr>
        <w:t>年度不单独填写绩效自评表。</w:t>
      </w:r>
    </w:p>
    <w:p w14:paraId="68995526">
      <w:pPr>
        <w:keepNext w:val="0"/>
        <w:keepLines w:val="0"/>
        <w:pageBreakBefore w:val="0"/>
        <w:widowControl/>
        <w:numPr>
          <w:ilvl w:val="0"/>
          <w:numId w:val="0"/>
        </w:numPr>
        <w:kinsoku/>
        <w:wordWrap/>
        <w:overflowPunct/>
        <w:topLinePunct w:val="0"/>
        <w:autoSpaceDE/>
        <w:autoSpaceDN/>
        <w:bidi w:val="0"/>
        <w:spacing w:line="240" w:lineRule="auto"/>
        <w:ind w:left="640" w:leftChars="0"/>
        <w:jc w:val="left"/>
        <w:textAlignment w:val="auto"/>
        <w:rPr>
          <w:rFonts w:hint="eastAsia" w:ascii="楷体_GB2312" w:hAnsi="宋体" w:eastAsia="楷体_GB2312" w:cs="楷体_GB2312"/>
          <w:bCs/>
          <w:color w:val="000000"/>
          <w:kern w:val="0"/>
          <w:sz w:val="32"/>
          <w:szCs w:val="32"/>
          <w:highlight w:val="none"/>
        </w:rPr>
      </w:pPr>
      <w:r>
        <w:rPr>
          <w:rFonts w:hint="eastAsia" w:ascii="楷体_GB2312" w:hAnsi="宋体" w:eastAsia="楷体_GB2312" w:cs="楷体_GB2312"/>
          <w:bCs/>
          <w:color w:val="000000"/>
          <w:kern w:val="0"/>
          <w:sz w:val="32"/>
          <w:szCs w:val="32"/>
          <w:highlight w:val="none"/>
          <w:lang w:eastAsia="zh-CN"/>
        </w:rPr>
        <w:t>（</w:t>
      </w:r>
      <w:r>
        <w:rPr>
          <w:rFonts w:hint="eastAsia" w:ascii="楷体_GB2312" w:hAnsi="宋体" w:eastAsia="楷体_GB2312" w:cs="楷体_GB2312"/>
          <w:bCs/>
          <w:color w:val="000000"/>
          <w:kern w:val="0"/>
          <w:sz w:val="32"/>
          <w:szCs w:val="32"/>
          <w:highlight w:val="none"/>
          <w:lang w:val="en-US" w:eastAsia="zh-CN"/>
        </w:rPr>
        <w:t>四</w:t>
      </w:r>
      <w:r>
        <w:rPr>
          <w:rFonts w:hint="eastAsia" w:ascii="楷体_GB2312" w:hAnsi="宋体" w:eastAsia="楷体_GB2312" w:cs="楷体_GB2312"/>
          <w:bCs/>
          <w:color w:val="000000"/>
          <w:kern w:val="0"/>
          <w:sz w:val="32"/>
          <w:szCs w:val="32"/>
          <w:highlight w:val="none"/>
          <w:lang w:eastAsia="zh-CN"/>
        </w:rPr>
        <w:t>）</w:t>
      </w:r>
      <w:r>
        <w:rPr>
          <w:rFonts w:hint="eastAsia" w:ascii="楷体_GB2312" w:hAnsi="宋体" w:eastAsia="楷体_GB2312" w:cs="楷体_GB2312"/>
          <w:bCs/>
          <w:color w:val="000000"/>
          <w:kern w:val="0"/>
          <w:sz w:val="32"/>
          <w:szCs w:val="32"/>
          <w:highlight w:val="none"/>
        </w:rPr>
        <w:t>专项资金绩效自评结果</w:t>
      </w:r>
    </w:p>
    <w:p w14:paraId="0946C495">
      <w:pPr>
        <w:keepNext w:val="0"/>
        <w:keepLines w:val="0"/>
        <w:pageBreakBefore w:val="0"/>
        <w:widowControl/>
        <w:numPr>
          <w:ilvl w:val="0"/>
          <w:numId w:val="0"/>
        </w:numPr>
        <w:kinsoku/>
        <w:wordWrap/>
        <w:overflowPunct/>
        <w:topLinePunct w:val="0"/>
        <w:autoSpaceDE/>
        <w:autoSpaceDN/>
        <w:bidi w:val="0"/>
        <w:adjustRightInd/>
        <w:snapToGrid/>
        <w:spacing w:line="240" w:lineRule="auto"/>
        <w:ind w:left="640" w:leftChars="0"/>
        <w:jc w:val="left"/>
        <w:textAlignment w:val="auto"/>
        <w:rPr>
          <w:rFonts w:hint="eastAsia" w:ascii="楷体_GB2312" w:hAnsi="宋体" w:eastAsia="楷体_GB2312" w:cs="楷体_GB2312"/>
          <w:bCs/>
          <w:color w:val="000000"/>
          <w:kern w:val="0"/>
          <w:sz w:val="32"/>
          <w:szCs w:val="32"/>
          <w:highlight w:val="none"/>
        </w:rPr>
      </w:pPr>
      <w:r>
        <w:rPr>
          <w:rFonts w:hint="eastAsia" w:ascii="楷体_GB2312" w:hAnsi="宋体" w:eastAsia="楷体_GB2312" w:cs="楷体_GB2312"/>
          <w:bCs/>
          <w:color w:val="000000"/>
          <w:kern w:val="0"/>
          <w:sz w:val="32"/>
          <w:szCs w:val="32"/>
          <w:highlight w:val="none"/>
        </w:rPr>
        <w:t>单位不主管专项资金</w:t>
      </w:r>
    </w:p>
    <w:p w14:paraId="6246AD88">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楷体_GB2312" w:hAnsi="宋体" w:eastAsia="楷体_GB2312" w:cs="楷体_GB2312"/>
          <w:bCs/>
          <w:color w:val="000000"/>
          <w:kern w:val="0"/>
          <w:sz w:val="32"/>
          <w:szCs w:val="32"/>
          <w:highlight w:val="none"/>
        </w:rPr>
      </w:pPr>
      <w:r>
        <w:rPr>
          <w:rFonts w:hint="eastAsia" w:ascii="楷体_GB2312" w:hAnsi="宋体" w:eastAsia="楷体_GB2312" w:cs="楷体_GB2312"/>
          <w:bCs/>
          <w:color w:val="000000"/>
          <w:kern w:val="0"/>
          <w:sz w:val="32"/>
          <w:szCs w:val="32"/>
          <w:highlight w:val="none"/>
        </w:rPr>
        <w:t>（五）部门重点评价项目绩效评价结果</w:t>
      </w:r>
    </w:p>
    <w:p w14:paraId="1EA57090">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无</w:t>
      </w:r>
      <w:r>
        <w:rPr>
          <w:rFonts w:hint="eastAsia" w:ascii="仿宋_GB2312" w:hAnsi="仿宋_GB2312" w:eastAsia="仿宋_GB2312" w:cs="仿宋_GB2312"/>
          <w:iCs/>
          <w:color w:val="auto"/>
          <w:kern w:val="0"/>
          <w:sz w:val="32"/>
          <w:szCs w:val="32"/>
          <w:highlight w:val="none"/>
          <w:lang w:val="en-US" w:eastAsia="zh-CN"/>
        </w:rPr>
        <w:t>单位</w:t>
      </w:r>
      <w:r>
        <w:rPr>
          <w:rFonts w:hint="eastAsia" w:ascii="仿宋_GB2312" w:hAnsi="仿宋_GB2312" w:eastAsia="仿宋_GB2312" w:cs="仿宋_GB2312"/>
          <w:iCs/>
          <w:color w:val="auto"/>
          <w:kern w:val="0"/>
          <w:sz w:val="32"/>
          <w:szCs w:val="32"/>
          <w:highlight w:val="none"/>
        </w:rPr>
        <w:t>重点评价项目。</w:t>
      </w:r>
    </w:p>
    <w:p w14:paraId="215E885E">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楷体_GB2312" w:hAnsi="宋体" w:eastAsia="楷体_GB2312" w:cs="楷体_GB2312"/>
          <w:bCs/>
          <w:color w:val="000000"/>
          <w:kern w:val="0"/>
          <w:sz w:val="32"/>
          <w:szCs w:val="32"/>
          <w:highlight w:val="none"/>
        </w:rPr>
      </w:pPr>
      <w:r>
        <w:rPr>
          <w:rFonts w:hint="eastAsia" w:ascii="楷体_GB2312" w:hAnsi="宋体" w:eastAsia="楷体_GB2312" w:cs="楷体_GB2312"/>
          <w:bCs/>
          <w:color w:val="000000"/>
          <w:kern w:val="0"/>
          <w:sz w:val="32"/>
          <w:szCs w:val="32"/>
          <w:highlight w:val="none"/>
        </w:rPr>
        <w:t>（六）财政重点评价项目绩效评价结果</w:t>
      </w:r>
    </w:p>
    <w:p w14:paraId="79CEF23B">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无财政重点评价项目。</w:t>
      </w:r>
    </w:p>
    <w:p w14:paraId="0FA4B0F9">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olor w:val="000000"/>
          <w:kern w:val="0"/>
          <w:sz w:val="32"/>
          <w:szCs w:val="32"/>
        </w:rPr>
      </w:pPr>
      <w:r>
        <w:rPr>
          <w:rFonts w:hint="eastAsia" w:ascii="黑体" w:hAnsi="黑体" w:eastAsia="黑体"/>
          <w:color w:val="000000"/>
          <w:kern w:val="0"/>
          <w:sz w:val="32"/>
          <w:szCs w:val="32"/>
        </w:rPr>
        <w:t>十四、其他需要说明的情况</w:t>
      </w:r>
    </w:p>
    <w:p w14:paraId="60593A80">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1.决算公开表格中金额数值保留两位小数，公开数据为四舍五入计算结果；个别数据项之间，个别数据合计项与分项数字之和存在小数点后尾差。</w:t>
      </w:r>
    </w:p>
    <w:p w14:paraId="1A65246B">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2.决算公开表格中部分数据约值万元时显示为零，实际不为零。</w:t>
      </w:r>
    </w:p>
    <w:p w14:paraId="45986F12">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3.汉中市政府投资项目代建服务中心</w:t>
      </w:r>
      <w:r>
        <w:rPr>
          <w:rFonts w:hint="eastAsia" w:ascii="仿宋_GB2312" w:hAnsi="仿宋_GB2312" w:eastAsia="仿宋_GB2312" w:cs="仿宋_GB2312"/>
          <w:iCs/>
          <w:color w:val="auto"/>
          <w:kern w:val="0"/>
          <w:sz w:val="32"/>
          <w:szCs w:val="32"/>
          <w:highlight w:val="none"/>
          <w:lang w:val="en-US" w:eastAsia="zh-CN"/>
        </w:rPr>
        <w:t>决</w:t>
      </w:r>
      <w:r>
        <w:rPr>
          <w:rFonts w:hint="eastAsia" w:ascii="仿宋_GB2312" w:hAnsi="仿宋_GB2312" w:eastAsia="仿宋_GB2312" w:cs="仿宋_GB2312"/>
          <w:iCs/>
          <w:color w:val="auto"/>
          <w:kern w:val="0"/>
          <w:sz w:val="32"/>
          <w:szCs w:val="32"/>
          <w:highlight w:val="none"/>
        </w:rPr>
        <w:t>算数据反映</w:t>
      </w:r>
      <w:r>
        <w:rPr>
          <w:rFonts w:hint="eastAsia" w:ascii="仿宋_GB2312" w:hAnsi="仿宋_GB2312" w:eastAsia="仿宋_GB2312" w:cs="仿宋_GB2312"/>
          <w:iCs/>
          <w:color w:val="auto"/>
          <w:kern w:val="0"/>
          <w:sz w:val="32"/>
          <w:szCs w:val="32"/>
          <w:highlight w:val="none"/>
          <w:lang w:val="en-US" w:eastAsia="zh-CN"/>
        </w:rPr>
        <w:t>1个预算</w:t>
      </w:r>
      <w:r>
        <w:rPr>
          <w:rFonts w:hint="eastAsia" w:ascii="仿宋_GB2312" w:hAnsi="仿宋_GB2312" w:eastAsia="仿宋_GB2312" w:cs="仿宋_GB2312"/>
          <w:iCs/>
          <w:color w:val="auto"/>
          <w:kern w:val="0"/>
          <w:sz w:val="32"/>
          <w:szCs w:val="32"/>
          <w:highlight w:val="none"/>
        </w:rPr>
        <w:t>单位</w:t>
      </w:r>
      <w:r>
        <w:rPr>
          <w:rFonts w:hint="eastAsia" w:ascii="仿宋_GB2312" w:hAnsi="仿宋_GB2312" w:eastAsia="仿宋_GB2312" w:cs="仿宋_GB2312"/>
          <w:iCs/>
          <w:color w:val="auto"/>
          <w:kern w:val="0"/>
          <w:sz w:val="32"/>
          <w:szCs w:val="32"/>
          <w:highlight w:val="none"/>
          <w:lang w:eastAsia="zh-CN"/>
        </w:rPr>
        <w:t>数据</w:t>
      </w:r>
      <w:r>
        <w:rPr>
          <w:rFonts w:hint="eastAsia" w:ascii="仿宋_GB2312" w:hAnsi="仿宋_GB2312" w:eastAsia="仿宋_GB2312" w:cs="仿宋_GB2312"/>
          <w:iCs/>
          <w:color w:val="auto"/>
          <w:kern w:val="0"/>
          <w:sz w:val="32"/>
          <w:szCs w:val="32"/>
          <w:highlight w:val="none"/>
        </w:rPr>
        <w:t>情况。</w:t>
      </w:r>
    </w:p>
    <w:p w14:paraId="6143E3EA">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iCs/>
          <w:color w:val="auto"/>
          <w:kern w:val="0"/>
          <w:sz w:val="32"/>
          <w:szCs w:val="32"/>
          <w:highlight w:val="none"/>
        </w:rPr>
      </w:pPr>
      <w:r>
        <w:rPr>
          <w:rFonts w:hint="eastAsia" w:ascii="仿宋_GB2312" w:hAnsi="仿宋_GB2312" w:eastAsia="仿宋_GB2312" w:cs="仿宋_GB2312"/>
          <w:iCs/>
          <w:color w:val="auto"/>
          <w:kern w:val="0"/>
          <w:sz w:val="32"/>
          <w:szCs w:val="32"/>
          <w:highlight w:val="none"/>
        </w:rPr>
        <w:t>4.</w:t>
      </w:r>
      <w:r>
        <w:rPr>
          <w:rFonts w:hint="eastAsia" w:ascii="仿宋_GB2312" w:hAnsi="仿宋_GB2312" w:eastAsia="仿宋_GB2312" w:cs="仿宋_GB2312"/>
          <w:iCs/>
          <w:color w:val="auto"/>
          <w:kern w:val="0"/>
          <w:sz w:val="32"/>
          <w:szCs w:val="32"/>
          <w:highlight w:val="none"/>
          <w:lang w:eastAsia="zh-CN"/>
        </w:rPr>
        <w:t>不涉及机构改革变化，</w:t>
      </w:r>
      <w:r>
        <w:rPr>
          <w:rFonts w:hint="eastAsia" w:ascii="仿宋_GB2312" w:hAnsi="仿宋_GB2312" w:eastAsia="仿宋_GB2312" w:cs="仿宋_GB2312"/>
          <w:iCs/>
          <w:color w:val="auto"/>
          <w:kern w:val="0"/>
          <w:sz w:val="32"/>
          <w:szCs w:val="32"/>
          <w:highlight w:val="none"/>
        </w:rPr>
        <w:t>无预算单位变化调整。</w:t>
      </w:r>
    </w:p>
    <w:p w14:paraId="3816A3C7">
      <w:pPr>
        <w:keepNext w:val="0"/>
        <w:keepLines w:val="0"/>
        <w:pageBreakBefore w:val="0"/>
        <w:widowControl/>
        <w:kinsoku/>
        <w:wordWrap/>
        <w:overflowPunct/>
        <w:topLinePunct w:val="0"/>
        <w:autoSpaceDE/>
        <w:autoSpaceDN/>
        <w:bidi w:val="0"/>
        <w:adjustRightInd/>
        <w:snapToGrid/>
        <w:spacing w:line="240" w:lineRule="auto"/>
        <w:ind w:firstLine="640"/>
        <w:jc w:val="left"/>
        <w:textAlignment w:val="auto"/>
        <w:rPr>
          <w:rFonts w:hint="eastAsia" w:ascii="仿宋_GB2312" w:hAnsi="仿宋_GB2312" w:eastAsia="仿宋_GB2312" w:cs="仿宋_GB2312"/>
          <w:iCs/>
          <w:color w:val="auto"/>
          <w:kern w:val="0"/>
          <w:sz w:val="32"/>
          <w:szCs w:val="32"/>
          <w:highlight w:val="none"/>
          <w:lang w:eastAsia="zh-CN"/>
        </w:rPr>
      </w:pPr>
      <w:r>
        <w:rPr>
          <w:rFonts w:hint="eastAsia" w:ascii="仿宋_GB2312" w:hAnsi="仿宋_GB2312" w:eastAsia="仿宋_GB2312" w:cs="仿宋_GB2312"/>
          <w:iCs/>
          <w:color w:val="auto"/>
          <w:kern w:val="0"/>
          <w:sz w:val="32"/>
          <w:szCs w:val="32"/>
          <w:highlight w:val="none"/>
          <w:lang w:val="en-US" w:eastAsia="zh-CN"/>
        </w:rPr>
        <w:t>5</w:t>
      </w:r>
      <w:r>
        <w:rPr>
          <w:rFonts w:hint="eastAsia" w:ascii="仿宋_GB2312" w:hAnsi="仿宋_GB2312" w:eastAsia="仿宋_GB2312" w:cs="仿宋_GB2312"/>
          <w:iCs/>
          <w:color w:val="auto"/>
          <w:kern w:val="0"/>
          <w:sz w:val="32"/>
          <w:szCs w:val="32"/>
          <w:highlight w:val="none"/>
        </w:rPr>
        <w:t>.决算公开联系方式及信息反馈渠道。联系电话：</w:t>
      </w:r>
      <w:r>
        <w:rPr>
          <w:rFonts w:hint="eastAsia" w:ascii="仿宋_GB2312" w:hAnsi="仿宋_GB2312" w:eastAsia="仿宋_GB2312" w:cs="仿宋_GB2312"/>
          <w:iCs/>
          <w:color w:val="auto"/>
          <w:kern w:val="0"/>
          <w:sz w:val="32"/>
          <w:szCs w:val="32"/>
          <w:highlight w:val="none"/>
          <w:lang w:eastAsia="zh-CN"/>
        </w:rPr>
        <w:t>（</w:t>
      </w:r>
      <w:r>
        <w:rPr>
          <w:rFonts w:hint="eastAsia" w:ascii="仿宋_GB2312" w:hAnsi="仿宋_GB2312" w:eastAsia="仿宋_GB2312" w:cs="仿宋_GB2312"/>
          <w:iCs/>
          <w:color w:val="auto"/>
          <w:kern w:val="0"/>
          <w:sz w:val="32"/>
          <w:szCs w:val="32"/>
          <w:highlight w:val="none"/>
          <w:lang w:val="en-US" w:eastAsia="zh-CN"/>
        </w:rPr>
        <w:t>0916</w:t>
      </w:r>
      <w:r>
        <w:rPr>
          <w:rFonts w:hint="eastAsia" w:ascii="仿宋_GB2312" w:hAnsi="仿宋_GB2312" w:eastAsia="仿宋_GB2312" w:cs="仿宋_GB2312"/>
          <w:iCs/>
          <w:color w:val="auto"/>
          <w:kern w:val="0"/>
          <w:sz w:val="32"/>
          <w:szCs w:val="32"/>
          <w:highlight w:val="none"/>
          <w:lang w:eastAsia="zh-CN"/>
        </w:rPr>
        <w:t>）</w:t>
      </w:r>
      <w:r>
        <w:rPr>
          <w:rFonts w:hint="eastAsia" w:ascii="仿宋_GB2312" w:hAnsi="仿宋_GB2312" w:eastAsia="仿宋_GB2312" w:cs="仿宋_GB2312"/>
          <w:iCs/>
          <w:color w:val="auto"/>
          <w:kern w:val="0"/>
          <w:sz w:val="32"/>
          <w:szCs w:val="32"/>
          <w:highlight w:val="none"/>
          <w:lang w:val="en-US" w:eastAsia="zh-CN"/>
        </w:rPr>
        <w:t>2100823</w:t>
      </w:r>
      <w:r>
        <w:rPr>
          <w:rFonts w:hint="eastAsia" w:ascii="仿宋_GB2312" w:hAnsi="仿宋_GB2312" w:eastAsia="仿宋_GB2312" w:cs="仿宋_GB2312"/>
          <w:iCs/>
          <w:color w:val="auto"/>
          <w:kern w:val="0"/>
          <w:sz w:val="32"/>
          <w:szCs w:val="32"/>
          <w:highlight w:val="none"/>
          <w:lang w:eastAsia="zh-CN"/>
        </w:rPr>
        <w:t>。如电话号码发生变更，请通过其他公开渠道另行获取，本文本不再更新。</w:t>
      </w:r>
    </w:p>
    <w:p w14:paraId="04CD2966">
      <w:pPr>
        <w:keepNext w:val="0"/>
        <w:keepLines w:val="0"/>
        <w:pageBreakBefore w:val="0"/>
        <w:kinsoku/>
        <w:wordWrap/>
        <w:overflowPunct/>
        <w:topLinePunct w:val="0"/>
        <w:autoSpaceDE/>
        <w:autoSpaceDN/>
        <w:bidi w:val="0"/>
        <w:adjustRightInd/>
        <w:snapToGrid/>
        <w:spacing w:line="240" w:lineRule="auto"/>
        <w:ind w:firstLine="880" w:firstLineChars="200"/>
        <w:textAlignment w:val="auto"/>
        <w:rPr>
          <w:rFonts w:hint="eastAsia" w:ascii="方正小标宋简体" w:hAnsi="方正小标宋简体" w:eastAsia="方正小标宋简体" w:cs="方正小标宋简体"/>
          <w:color w:val="000000"/>
          <w:kern w:val="0"/>
          <w:sz w:val="44"/>
          <w:szCs w:val="44"/>
        </w:rPr>
      </w:pPr>
    </w:p>
    <w:p w14:paraId="4755304B">
      <w:pPr>
        <w:jc w:val="center"/>
        <w:rPr>
          <w:rFonts w:hint="eastAsia" w:ascii="方正小标宋简体" w:hAnsi="方正小标宋简体" w:eastAsia="方正小标宋简体" w:cs="方正小标宋简体"/>
          <w:color w:val="000000"/>
          <w:kern w:val="0"/>
          <w:sz w:val="44"/>
          <w:szCs w:val="44"/>
        </w:rPr>
      </w:pPr>
    </w:p>
    <w:p w14:paraId="683F3AA0">
      <w:pPr>
        <w:jc w:val="center"/>
        <w:rPr>
          <w:rFonts w:hint="eastAsia" w:ascii="方正小标宋简体" w:hAnsi="方正小标宋简体" w:eastAsia="方正小标宋简体" w:cs="方正小标宋简体"/>
          <w:color w:val="000000"/>
          <w:kern w:val="0"/>
          <w:sz w:val="44"/>
          <w:szCs w:val="44"/>
        </w:rPr>
      </w:pPr>
    </w:p>
    <w:p w14:paraId="195F1EC5">
      <w:pPr>
        <w:jc w:val="center"/>
        <w:rPr>
          <w:rFonts w:hint="eastAsia" w:ascii="方正小标宋简体" w:hAnsi="方正小标宋简体" w:eastAsia="方正小标宋简体" w:cs="方正小标宋简体"/>
          <w:color w:val="000000"/>
          <w:kern w:val="0"/>
          <w:sz w:val="44"/>
          <w:szCs w:val="44"/>
        </w:rPr>
      </w:pPr>
    </w:p>
    <w:p w14:paraId="33A6C8C0">
      <w:pPr>
        <w:ind w:firstLine="880" w:firstLineChars="200"/>
        <w:jc w:val="both"/>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第三部分 2023年度部门决算表</w:t>
      </w:r>
    </w:p>
    <w:p w14:paraId="43C45A14">
      <w:pPr>
        <w:shd w:val="clear" w:color="auto" w:fill="auto"/>
        <w:jc w:val="center"/>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目录</w:t>
      </w:r>
    </w:p>
    <w:tbl>
      <w:tblPr>
        <w:tblStyle w:val="11"/>
        <w:tblpPr w:leftFromText="180" w:rightFromText="180" w:vertAnchor="text" w:horzAnchor="page" w:tblpX="1367" w:tblpY="180"/>
        <w:tblOverlap w:val="never"/>
        <w:tblW w:w="5712" w:type="pct"/>
        <w:tblInd w:w="0" w:type="dxa"/>
        <w:tblLayout w:type="autofit"/>
        <w:tblCellMar>
          <w:top w:w="0" w:type="dxa"/>
          <w:left w:w="108" w:type="dxa"/>
          <w:bottom w:w="0" w:type="dxa"/>
          <w:right w:w="108" w:type="dxa"/>
        </w:tblCellMar>
      </w:tblPr>
      <w:tblGrid>
        <w:gridCol w:w="658"/>
        <w:gridCol w:w="5282"/>
        <w:gridCol w:w="1135"/>
        <w:gridCol w:w="2661"/>
      </w:tblGrid>
      <w:tr w14:paraId="384310CC">
        <w:tblPrEx>
          <w:tblCellMar>
            <w:top w:w="0" w:type="dxa"/>
            <w:left w:w="108" w:type="dxa"/>
            <w:bottom w:w="0" w:type="dxa"/>
            <w:right w:w="108" w:type="dxa"/>
          </w:tblCellMar>
        </w:tblPrEx>
        <w:trPr>
          <w:trHeight w:val="570" w:hRule="atLeast"/>
        </w:trPr>
        <w:tc>
          <w:tcPr>
            <w:tcW w:w="337" w:type="pct"/>
            <w:tcBorders>
              <w:top w:val="nil"/>
              <w:left w:val="nil"/>
              <w:bottom w:val="single" w:color="D4D4D4" w:sz="4" w:space="0"/>
              <w:right w:val="single" w:color="D4D4D4" w:sz="4" w:space="0"/>
            </w:tcBorders>
            <w:shd w:val="clear" w:color="000000" w:fill="F1F1F1"/>
            <w:noWrap/>
            <w:vAlign w:val="center"/>
          </w:tcPr>
          <w:p w14:paraId="2C815D30">
            <w:pPr>
              <w:widowControl/>
              <w:shd w:val="clear" w:color="auto" w:fill="auto"/>
              <w:jc w:val="center"/>
              <w:rPr>
                <w:rFonts w:ascii="宋体" w:hAnsi="宋体" w:cs="宋体"/>
                <w:b/>
                <w:bCs/>
                <w:color w:val="auto"/>
                <w:kern w:val="0"/>
                <w:sz w:val="22"/>
                <w:szCs w:val="22"/>
              </w:rPr>
            </w:pPr>
            <w:r>
              <w:rPr>
                <w:rFonts w:hint="eastAsia" w:ascii="宋体" w:hAnsi="宋体" w:cs="宋体"/>
                <w:b/>
                <w:bCs/>
                <w:color w:val="auto"/>
                <w:kern w:val="0"/>
                <w:sz w:val="22"/>
                <w:szCs w:val="22"/>
              </w:rPr>
              <w:t>序号</w:t>
            </w:r>
          </w:p>
        </w:tc>
        <w:tc>
          <w:tcPr>
            <w:tcW w:w="2712" w:type="pct"/>
            <w:tcBorders>
              <w:top w:val="nil"/>
              <w:left w:val="nil"/>
              <w:bottom w:val="single" w:color="D4D4D4" w:sz="4" w:space="0"/>
              <w:right w:val="single" w:color="D4D4D4" w:sz="4" w:space="0"/>
            </w:tcBorders>
            <w:shd w:val="clear" w:color="000000" w:fill="F1F1F1"/>
            <w:noWrap/>
            <w:vAlign w:val="center"/>
          </w:tcPr>
          <w:p w14:paraId="54A031C8">
            <w:pPr>
              <w:widowControl/>
              <w:shd w:val="clear" w:color="auto" w:fill="auto"/>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内容</w:t>
            </w:r>
          </w:p>
        </w:tc>
        <w:tc>
          <w:tcPr>
            <w:tcW w:w="583" w:type="pct"/>
            <w:tcBorders>
              <w:top w:val="nil"/>
              <w:left w:val="nil"/>
              <w:bottom w:val="single" w:color="D4D4D4" w:sz="4" w:space="0"/>
              <w:right w:val="single" w:color="D4D4D4" w:sz="4" w:space="0"/>
            </w:tcBorders>
            <w:shd w:val="clear" w:color="000000" w:fill="F1F1F1"/>
            <w:noWrap/>
            <w:vAlign w:val="center"/>
          </w:tcPr>
          <w:p w14:paraId="7E4A3C71">
            <w:pPr>
              <w:widowControl/>
              <w:shd w:val="clear" w:color="auto" w:fill="auto"/>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是否空表</w:t>
            </w:r>
          </w:p>
        </w:tc>
        <w:tc>
          <w:tcPr>
            <w:tcW w:w="1366" w:type="pct"/>
            <w:tcBorders>
              <w:top w:val="nil"/>
              <w:left w:val="nil"/>
              <w:bottom w:val="single" w:color="D4D4D4" w:sz="4" w:space="0"/>
              <w:right w:val="single" w:color="D4D4D4" w:sz="4" w:space="0"/>
            </w:tcBorders>
            <w:shd w:val="clear" w:color="000000" w:fill="F1F1F1"/>
            <w:noWrap/>
            <w:vAlign w:val="center"/>
          </w:tcPr>
          <w:p w14:paraId="1EB2BF48">
            <w:pPr>
              <w:widowControl/>
              <w:shd w:val="clear" w:color="auto" w:fill="auto"/>
              <w:jc w:val="center"/>
              <w:rPr>
                <w:rFonts w:hint="eastAsia" w:ascii="宋体" w:hAnsi="宋体" w:cs="宋体"/>
                <w:b/>
                <w:bCs/>
                <w:color w:val="auto"/>
                <w:kern w:val="0"/>
                <w:sz w:val="22"/>
                <w:szCs w:val="22"/>
              </w:rPr>
            </w:pPr>
            <w:r>
              <w:rPr>
                <w:rFonts w:hint="eastAsia" w:ascii="宋体" w:hAnsi="宋体" w:cs="宋体"/>
                <w:b/>
                <w:bCs/>
                <w:color w:val="auto"/>
                <w:kern w:val="0"/>
                <w:sz w:val="22"/>
                <w:szCs w:val="22"/>
              </w:rPr>
              <w:t>表格为空的理由</w:t>
            </w:r>
          </w:p>
        </w:tc>
      </w:tr>
      <w:tr w14:paraId="16E5D015">
        <w:tblPrEx>
          <w:tblCellMar>
            <w:top w:w="0" w:type="dxa"/>
            <w:left w:w="108" w:type="dxa"/>
            <w:bottom w:w="0" w:type="dxa"/>
            <w:right w:w="108" w:type="dxa"/>
          </w:tblCellMar>
        </w:tblPrEx>
        <w:trPr>
          <w:trHeight w:val="900" w:hRule="atLeast"/>
        </w:trPr>
        <w:tc>
          <w:tcPr>
            <w:tcW w:w="337" w:type="pct"/>
            <w:tcBorders>
              <w:top w:val="nil"/>
              <w:left w:val="nil"/>
              <w:bottom w:val="single" w:color="D4D4D4" w:sz="4" w:space="0"/>
              <w:right w:val="single" w:color="D4D4D4" w:sz="4" w:space="0"/>
            </w:tcBorders>
            <w:shd w:val="clear" w:color="000000" w:fill="F1F1F1"/>
            <w:noWrap/>
            <w:vAlign w:val="center"/>
          </w:tcPr>
          <w:p w14:paraId="7473FEA7">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表1</w:t>
            </w:r>
          </w:p>
        </w:tc>
        <w:tc>
          <w:tcPr>
            <w:tcW w:w="2712" w:type="pct"/>
            <w:tcBorders>
              <w:top w:val="nil"/>
              <w:left w:val="nil"/>
              <w:bottom w:val="single" w:color="D4D4D4" w:sz="4" w:space="0"/>
              <w:right w:val="single" w:color="D4D4D4" w:sz="4" w:space="0"/>
            </w:tcBorders>
            <w:shd w:val="clear" w:color="000000" w:fill="F1F1F1"/>
            <w:noWrap/>
            <w:vAlign w:val="center"/>
          </w:tcPr>
          <w:p w14:paraId="668FB5E9">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收入支出决算总表</w:t>
            </w:r>
          </w:p>
        </w:tc>
        <w:tc>
          <w:tcPr>
            <w:tcW w:w="583" w:type="pct"/>
            <w:tcBorders>
              <w:top w:val="nil"/>
              <w:left w:val="nil"/>
              <w:bottom w:val="single" w:color="D4D4D4" w:sz="4" w:space="0"/>
              <w:right w:val="single" w:color="D4D4D4" w:sz="4" w:space="0"/>
            </w:tcBorders>
            <w:shd w:val="clear" w:color="000000" w:fill="D6F6EF"/>
            <w:noWrap/>
            <w:vAlign w:val="center"/>
          </w:tcPr>
          <w:p w14:paraId="617989F4">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否</w:t>
            </w:r>
          </w:p>
        </w:tc>
        <w:tc>
          <w:tcPr>
            <w:tcW w:w="1366" w:type="pct"/>
            <w:tcBorders>
              <w:top w:val="nil"/>
              <w:left w:val="nil"/>
              <w:bottom w:val="single" w:color="D4D4D4" w:sz="4" w:space="0"/>
              <w:right w:val="single" w:color="D4D4D4" w:sz="4" w:space="0"/>
            </w:tcBorders>
            <w:shd w:val="clear" w:color="000000" w:fill="FFFFFF"/>
            <w:noWrap/>
            <w:vAlign w:val="center"/>
          </w:tcPr>
          <w:p w14:paraId="2F05F9E2">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　</w:t>
            </w:r>
          </w:p>
        </w:tc>
      </w:tr>
      <w:tr w14:paraId="28185B81">
        <w:tblPrEx>
          <w:tblCellMar>
            <w:top w:w="0" w:type="dxa"/>
            <w:left w:w="108" w:type="dxa"/>
            <w:bottom w:w="0" w:type="dxa"/>
            <w:right w:w="108" w:type="dxa"/>
          </w:tblCellMar>
        </w:tblPrEx>
        <w:trPr>
          <w:trHeight w:val="900" w:hRule="atLeast"/>
        </w:trPr>
        <w:tc>
          <w:tcPr>
            <w:tcW w:w="337" w:type="pct"/>
            <w:tcBorders>
              <w:top w:val="nil"/>
              <w:left w:val="nil"/>
              <w:bottom w:val="single" w:color="D4D4D4" w:sz="4" w:space="0"/>
              <w:right w:val="single" w:color="D4D4D4" w:sz="4" w:space="0"/>
            </w:tcBorders>
            <w:shd w:val="clear" w:color="000000" w:fill="F1F1F1"/>
            <w:noWrap/>
            <w:vAlign w:val="center"/>
          </w:tcPr>
          <w:p w14:paraId="15BE16BA">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表2</w:t>
            </w:r>
          </w:p>
        </w:tc>
        <w:tc>
          <w:tcPr>
            <w:tcW w:w="2712" w:type="pct"/>
            <w:tcBorders>
              <w:top w:val="nil"/>
              <w:left w:val="nil"/>
              <w:bottom w:val="single" w:color="D4D4D4" w:sz="4" w:space="0"/>
              <w:right w:val="single" w:color="D4D4D4" w:sz="4" w:space="0"/>
            </w:tcBorders>
            <w:shd w:val="clear" w:color="000000" w:fill="F1F1F1"/>
            <w:noWrap/>
            <w:vAlign w:val="center"/>
          </w:tcPr>
          <w:p w14:paraId="09D529F0">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收入决算表</w:t>
            </w:r>
          </w:p>
        </w:tc>
        <w:tc>
          <w:tcPr>
            <w:tcW w:w="583" w:type="pct"/>
            <w:tcBorders>
              <w:top w:val="nil"/>
              <w:left w:val="nil"/>
              <w:bottom w:val="single" w:color="D4D4D4" w:sz="4" w:space="0"/>
              <w:right w:val="single" w:color="D4D4D4" w:sz="4" w:space="0"/>
            </w:tcBorders>
            <w:shd w:val="clear" w:color="000000" w:fill="D6F6EF"/>
            <w:noWrap/>
            <w:vAlign w:val="center"/>
          </w:tcPr>
          <w:p w14:paraId="1F817BB9">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否</w:t>
            </w:r>
          </w:p>
        </w:tc>
        <w:tc>
          <w:tcPr>
            <w:tcW w:w="1366" w:type="pct"/>
            <w:tcBorders>
              <w:top w:val="nil"/>
              <w:left w:val="nil"/>
              <w:bottom w:val="single" w:color="D4D4D4" w:sz="4" w:space="0"/>
              <w:right w:val="single" w:color="D4D4D4" w:sz="4" w:space="0"/>
            </w:tcBorders>
            <w:shd w:val="clear" w:color="000000" w:fill="FFFFFF"/>
            <w:noWrap/>
            <w:vAlign w:val="center"/>
          </w:tcPr>
          <w:p w14:paraId="6C3016EF">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　</w:t>
            </w:r>
          </w:p>
        </w:tc>
      </w:tr>
      <w:tr w14:paraId="4DC036A2">
        <w:tblPrEx>
          <w:tblCellMar>
            <w:top w:w="0" w:type="dxa"/>
            <w:left w:w="108" w:type="dxa"/>
            <w:bottom w:w="0" w:type="dxa"/>
            <w:right w:w="108" w:type="dxa"/>
          </w:tblCellMar>
        </w:tblPrEx>
        <w:trPr>
          <w:trHeight w:val="900" w:hRule="atLeast"/>
        </w:trPr>
        <w:tc>
          <w:tcPr>
            <w:tcW w:w="337" w:type="pct"/>
            <w:tcBorders>
              <w:top w:val="nil"/>
              <w:left w:val="nil"/>
              <w:bottom w:val="single" w:color="D4D4D4" w:sz="4" w:space="0"/>
              <w:right w:val="single" w:color="D4D4D4" w:sz="4" w:space="0"/>
            </w:tcBorders>
            <w:shd w:val="clear" w:color="000000" w:fill="F1F1F1"/>
            <w:noWrap/>
            <w:vAlign w:val="center"/>
          </w:tcPr>
          <w:p w14:paraId="3AB8C649">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表3</w:t>
            </w:r>
          </w:p>
        </w:tc>
        <w:tc>
          <w:tcPr>
            <w:tcW w:w="2712" w:type="pct"/>
            <w:tcBorders>
              <w:top w:val="nil"/>
              <w:left w:val="nil"/>
              <w:bottom w:val="single" w:color="D4D4D4" w:sz="4" w:space="0"/>
              <w:right w:val="single" w:color="D4D4D4" w:sz="4" w:space="0"/>
            </w:tcBorders>
            <w:shd w:val="clear" w:color="000000" w:fill="F1F1F1"/>
            <w:noWrap/>
            <w:vAlign w:val="center"/>
          </w:tcPr>
          <w:p w14:paraId="7622B541">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支出决算表</w:t>
            </w:r>
          </w:p>
        </w:tc>
        <w:tc>
          <w:tcPr>
            <w:tcW w:w="583" w:type="pct"/>
            <w:tcBorders>
              <w:top w:val="nil"/>
              <w:left w:val="nil"/>
              <w:bottom w:val="single" w:color="D4D4D4" w:sz="4" w:space="0"/>
              <w:right w:val="single" w:color="D4D4D4" w:sz="4" w:space="0"/>
            </w:tcBorders>
            <w:shd w:val="clear" w:color="000000" w:fill="D6F6EF"/>
            <w:noWrap/>
            <w:vAlign w:val="center"/>
          </w:tcPr>
          <w:p w14:paraId="34B0A650">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否</w:t>
            </w:r>
          </w:p>
        </w:tc>
        <w:tc>
          <w:tcPr>
            <w:tcW w:w="1366" w:type="pct"/>
            <w:tcBorders>
              <w:top w:val="nil"/>
              <w:left w:val="nil"/>
              <w:bottom w:val="single" w:color="D4D4D4" w:sz="4" w:space="0"/>
              <w:right w:val="single" w:color="D4D4D4" w:sz="4" w:space="0"/>
            </w:tcBorders>
            <w:shd w:val="clear" w:color="000000" w:fill="FFFFFF"/>
            <w:noWrap/>
            <w:vAlign w:val="center"/>
          </w:tcPr>
          <w:p w14:paraId="73125915">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　</w:t>
            </w:r>
          </w:p>
        </w:tc>
      </w:tr>
      <w:tr w14:paraId="1AC7A368">
        <w:tblPrEx>
          <w:tblCellMar>
            <w:top w:w="0" w:type="dxa"/>
            <w:left w:w="108" w:type="dxa"/>
            <w:bottom w:w="0" w:type="dxa"/>
            <w:right w:w="108" w:type="dxa"/>
          </w:tblCellMar>
        </w:tblPrEx>
        <w:trPr>
          <w:trHeight w:val="900" w:hRule="atLeast"/>
        </w:trPr>
        <w:tc>
          <w:tcPr>
            <w:tcW w:w="337" w:type="pct"/>
            <w:tcBorders>
              <w:top w:val="nil"/>
              <w:left w:val="nil"/>
              <w:bottom w:val="single" w:color="D4D4D4" w:sz="4" w:space="0"/>
              <w:right w:val="single" w:color="D4D4D4" w:sz="4" w:space="0"/>
            </w:tcBorders>
            <w:shd w:val="clear" w:color="000000" w:fill="F1F1F1"/>
            <w:noWrap/>
            <w:vAlign w:val="center"/>
          </w:tcPr>
          <w:p w14:paraId="19DE7C7B">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表4</w:t>
            </w:r>
          </w:p>
        </w:tc>
        <w:tc>
          <w:tcPr>
            <w:tcW w:w="2712" w:type="pct"/>
            <w:tcBorders>
              <w:top w:val="nil"/>
              <w:left w:val="nil"/>
              <w:bottom w:val="single" w:color="D4D4D4" w:sz="4" w:space="0"/>
              <w:right w:val="single" w:color="D4D4D4" w:sz="4" w:space="0"/>
            </w:tcBorders>
            <w:shd w:val="clear" w:color="000000" w:fill="F1F1F1"/>
            <w:noWrap/>
            <w:vAlign w:val="center"/>
          </w:tcPr>
          <w:p w14:paraId="20317484">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财政拨款收入支出决算总表</w:t>
            </w:r>
          </w:p>
        </w:tc>
        <w:tc>
          <w:tcPr>
            <w:tcW w:w="583" w:type="pct"/>
            <w:tcBorders>
              <w:top w:val="nil"/>
              <w:left w:val="nil"/>
              <w:bottom w:val="single" w:color="D4D4D4" w:sz="4" w:space="0"/>
              <w:right w:val="single" w:color="D4D4D4" w:sz="4" w:space="0"/>
            </w:tcBorders>
            <w:shd w:val="clear" w:color="000000" w:fill="D6F6EF"/>
            <w:noWrap/>
            <w:vAlign w:val="center"/>
          </w:tcPr>
          <w:p w14:paraId="79B7AADD">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否</w:t>
            </w:r>
          </w:p>
        </w:tc>
        <w:tc>
          <w:tcPr>
            <w:tcW w:w="1366" w:type="pct"/>
            <w:tcBorders>
              <w:top w:val="nil"/>
              <w:left w:val="nil"/>
              <w:bottom w:val="single" w:color="D4D4D4" w:sz="4" w:space="0"/>
              <w:right w:val="single" w:color="D4D4D4" w:sz="4" w:space="0"/>
            </w:tcBorders>
            <w:shd w:val="clear" w:color="000000" w:fill="FFFFFF"/>
            <w:noWrap/>
            <w:vAlign w:val="center"/>
          </w:tcPr>
          <w:p w14:paraId="691D7D6B">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　</w:t>
            </w:r>
          </w:p>
        </w:tc>
      </w:tr>
      <w:tr w14:paraId="3993FFD8">
        <w:tblPrEx>
          <w:tblCellMar>
            <w:top w:w="0" w:type="dxa"/>
            <w:left w:w="108" w:type="dxa"/>
            <w:bottom w:w="0" w:type="dxa"/>
            <w:right w:w="108" w:type="dxa"/>
          </w:tblCellMar>
        </w:tblPrEx>
        <w:trPr>
          <w:trHeight w:val="900" w:hRule="atLeast"/>
        </w:trPr>
        <w:tc>
          <w:tcPr>
            <w:tcW w:w="337" w:type="pct"/>
            <w:tcBorders>
              <w:top w:val="nil"/>
              <w:left w:val="nil"/>
              <w:bottom w:val="single" w:color="D4D4D4" w:sz="4" w:space="0"/>
              <w:right w:val="single" w:color="D4D4D4" w:sz="4" w:space="0"/>
            </w:tcBorders>
            <w:shd w:val="clear" w:color="000000" w:fill="F1F1F1"/>
            <w:noWrap/>
            <w:vAlign w:val="center"/>
          </w:tcPr>
          <w:p w14:paraId="6A216FDE">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表5</w:t>
            </w:r>
          </w:p>
        </w:tc>
        <w:tc>
          <w:tcPr>
            <w:tcW w:w="2712" w:type="pct"/>
            <w:tcBorders>
              <w:top w:val="nil"/>
              <w:left w:val="nil"/>
              <w:bottom w:val="single" w:color="D4D4D4" w:sz="4" w:space="0"/>
              <w:right w:val="single" w:color="D4D4D4" w:sz="4" w:space="0"/>
            </w:tcBorders>
            <w:shd w:val="clear" w:color="000000" w:fill="F1F1F1"/>
            <w:noWrap/>
            <w:vAlign w:val="center"/>
          </w:tcPr>
          <w:p w14:paraId="7E30CB4F">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一般公共预算财政拨款支出决算表</w:t>
            </w:r>
          </w:p>
        </w:tc>
        <w:tc>
          <w:tcPr>
            <w:tcW w:w="583" w:type="pct"/>
            <w:tcBorders>
              <w:top w:val="nil"/>
              <w:left w:val="nil"/>
              <w:bottom w:val="single" w:color="D4D4D4" w:sz="4" w:space="0"/>
              <w:right w:val="single" w:color="D4D4D4" w:sz="4" w:space="0"/>
            </w:tcBorders>
            <w:shd w:val="clear" w:color="000000" w:fill="D6F6EF"/>
            <w:noWrap/>
            <w:vAlign w:val="center"/>
          </w:tcPr>
          <w:p w14:paraId="485F9CB0">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否</w:t>
            </w:r>
          </w:p>
        </w:tc>
        <w:tc>
          <w:tcPr>
            <w:tcW w:w="1366" w:type="pct"/>
            <w:tcBorders>
              <w:top w:val="nil"/>
              <w:left w:val="nil"/>
              <w:bottom w:val="single" w:color="D4D4D4" w:sz="4" w:space="0"/>
              <w:right w:val="single" w:color="D4D4D4" w:sz="4" w:space="0"/>
            </w:tcBorders>
            <w:shd w:val="clear" w:color="000000" w:fill="FFFFFF"/>
            <w:noWrap/>
            <w:vAlign w:val="center"/>
          </w:tcPr>
          <w:p w14:paraId="4B485C3D">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　</w:t>
            </w:r>
          </w:p>
        </w:tc>
      </w:tr>
      <w:tr w14:paraId="1019710F">
        <w:tblPrEx>
          <w:tblCellMar>
            <w:top w:w="0" w:type="dxa"/>
            <w:left w:w="108" w:type="dxa"/>
            <w:bottom w:w="0" w:type="dxa"/>
            <w:right w:w="108" w:type="dxa"/>
          </w:tblCellMar>
        </w:tblPrEx>
        <w:trPr>
          <w:trHeight w:val="889" w:hRule="atLeast"/>
        </w:trPr>
        <w:tc>
          <w:tcPr>
            <w:tcW w:w="337" w:type="pct"/>
            <w:tcBorders>
              <w:top w:val="nil"/>
              <w:left w:val="nil"/>
              <w:bottom w:val="single" w:color="D4D4D4" w:sz="4" w:space="0"/>
              <w:right w:val="single" w:color="D4D4D4" w:sz="4" w:space="0"/>
            </w:tcBorders>
            <w:shd w:val="clear" w:color="000000" w:fill="F1F1F1"/>
            <w:noWrap/>
            <w:vAlign w:val="center"/>
          </w:tcPr>
          <w:p w14:paraId="52719484">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表6</w:t>
            </w:r>
          </w:p>
        </w:tc>
        <w:tc>
          <w:tcPr>
            <w:tcW w:w="2712" w:type="pct"/>
            <w:tcBorders>
              <w:top w:val="nil"/>
              <w:left w:val="nil"/>
              <w:bottom w:val="single" w:color="D4D4D4" w:sz="4" w:space="0"/>
              <w:right w:val="single" w:color="D4D4D4" w:sz="4" w:space="0"/>
            </w:tcBorders>
            <w:shd w:val="clear" w:color="000000" w:fill="F1F1F1"/>
            <w:noWrap/>
            <w:vAlign w:val="center"/>
          </w:tcPr>
          <w:p w14:paraId="3A9A74B9">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一般公共预算财政拨款基本支出决算表</w:t>
            </w:r>
          </w:p>
        </w:tc>
        <w:tc>
          <w:tcPr>
            <w:tcW w:w="583" w:type="pct"/>
            <w:tcBorders>
              <w:top w:val="nil"/>
              <w:left w:val="nil"/>
              <w:bottom w:val="single" w:color="D4D4D4" w:sz="4" w:space="0"/>
              <w:right w:val="single" w:color="D4D4D4" w:sz="4" w:space="0"/>
            </w:tcBorders>
            <w:shd w:val="clear" w:color="000000" w:fill="D6F6EF"/>
            <w:noWrap/>
            <w:vAlign w:val="center"/>
          </w:tcPr>
          <w:p w14:paraId="778A3E47">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否</w:t>
            </w:r>
          </w:p>
        </w:tc>
        <w:tc>
          <w:tcPr>
            <w:tcW w:w="1366" w:type="pct"/>
            <w:tcBorders>
              <w:top w:val="nil"/>
              <w:left w:val="nil"/>
              <w:bottom w:val="single" w:color="D4D4D4" w:sz="4" w:space="0"/>
              <w:right w:val="single" w:color="D4D4D4" w:sz="4" w:space="0"/>
            </w:tcBorders>
            <w:shd w:val="clear" w:color="000000" w:fill="FFFFFF"/>
            <w:noWrap/>
            <w:vAlign w:val="center"/>
          </w:tcPr>
          <w:p w14:paraId="147D57AA">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　</w:t>
            </w:r>
          </w:p>
        </w:tc>
      </w:tr>
      <w:tr w14:paraId="70BE1E43">
        <w:tblPrEx>
          <w:tblCellMar>
            <w:top w:w="0" w:type="dxa"/>
            <w:left w:w="108" w:type="dxa"/>
            <w:bottom w:w="0" w:type="dxa"/>
            <w:right w:w="108" w:type="dxa"/>
          </w:tblCellMar>
        </w:tblPrEx>
        <w:trPr>
          <w:trHeight w:val="900" w:hRule="atLeast"/>
        </w:trPr>
        <w:tc>
          <w:tcPr>
            <w:tcW w:w="337" w:type="pct"/>
            <w:tcBorders>
              <w:top w:val="nil"/>
              <w:left w:val="nil"/>
              <w:bottom w:val="single" w:color="D4D4D4" w:sz="4" w:space="0"/>
              <w:right w:val="single" w:color="D4D4D4" w:sz="4" w:space="0"/>
            </w:tcBorders>
            <w:shd w:val="clear" w:color="000000" w:fill="F1F1F1"/>
            <w:noWrap/>
            <w:vAlign w:val="center"/>
          </w:tcPr>
          <w:p w14:paraId="38945DA5">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表7</w:t>
            </w:r>
          </w:p>
        </w:tc>
        <w:tc>
          <w:tcPr>
            <w:tcW w:w="2712" w:type="pct"/>
            <w:tcBorders>
              <w:top w:val="nil"/>
              <w:left w:val="nil"/>
              <w:bottom w:val="single" w:color="D4D4D4" w:sz="4" w:space="0"/>
              <w:right w:val="single" w:color="D4D4D4" w:sz="4" w:space="0"/>
            </w:tcBorders>
            <w:shd w:val="clear" w:color="000000" w:fill="F1F1F1"/>
            <w:noWrap/>
            <w:vAlign w:val="center"/>
          </w:tcPr>
          <w:p w14:paraId="1260BBC9">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政府性基金预算财政拨款收入支出决算表</w:t>
            </w:r>
          </w:p>
        </w:tc>
        <w:tc>
          <w:tcPr>
            <w:tcW w:w="583" w:type="pct"/>
            <w:tcBorders>
              <w:top w:val="nil"/>
              <w:left w:val="nil"/>
              <w:bottom w:val="single" w:color="D4D4D4" w:sz="4" w:space="0"/>
              <w:right w:val="single" w:color="D4D4D4" w:sz="4" w:space="0"/>
            </w:tcBorders>
            <w:shd w:val="clear" w:color="000000" w:fill="D6F6EF"/>
            <w:noWrap/>
            <w:vAlign w:val="center"/>
          </w:tcPr>
          <w:p w14:paraId="6292797A">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是</w:t>
            </w:r>
          </w:p>
        </w:tc>
        <w:tc>
          <w:tcPr>
            <w:tcW w:w="1366" w:type="pct"/>
            <w:tcBorders>
              <w:top w:val="nil"/>
              <w:left w:val="nil"/>
              <w:bottom w:val="single" w:color="D4D4D4" w:sz="4" w:space="0"/>
              <w:right w:val="single" w:color="D4D4D4" w:sz="4" w:space="0"/>
            </w:tcBorders>
            <w:shd w:val="clear" w:color="000000" w:fill="FFFFFF"/>
            <w:noWrap/>
            <w:vAlign w:val="center"/>
          </w:tcPr>
          <w:p w14:paraId="142937A8">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本部门不涉及故公开空表</w:t>
            </w:r>
          </w:p>
        </w:tc>
      </w:tr>
      <w:tr w14:paraId="5BF3BFC4">
        <w:tblPrEx>
          <w:tblCellMar>
            <w:top w:w="0" w:type="dxa"/>
            <w:left w:w="108" w:type="dxa"/>
            <w:bottom w:w="0" w:type="dxa"/>
            <w:right w:w="108" w:type="dxa"/>
          </w:tblCellMar>
        </w:tblPrEx>
        <w:trPr>
          <w:trHeight w:val="900" w:hRule="atLeast"/>
        </w:trPr>
        <w:tc>
          <w:tcPr>
            <w:tcW w:w="337" w:type="pct"/>
            <w:tcBorders>
              <w:top w:val="nil"/>
              <w:left w:val="nil"/>
              <w:bottom w:val="single" w:color="D4D4D4" w:sz="4" w:space="0"/>
              <w:right w:val="single" w:color="D4D4D4" w:sz="4" w:space="0"/>
            </w:tcBorders>
            <w:shd w:val="clear" w:color="000000" w:fill="F1F1F1"/>
            <w:noWrap/>
            <w:vAlign w:val="center"/>
          </w:tcPr>
          <w:p w14:paraId="61FECA3F">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表8</w:t>
            </w:r>
          </w:p>
        </w:tc>
        <w:tc>
          <w:tcPr>
            <w:tcW w:w="2712" w:type="pct"/>
            <w:tcBorders>
              <w:top w:val="nil"/>
              <w:left w:val="nil"/>
              <w:bottom w:val="single" w:color="D4D4D4" w:sz="4" w:space="0"/>
              <w:right w:val="single" w:color="D4D4D4" w:sz="4" w:space="0"/>
            </w:tcBorders>
            <w:shd w:val="clear" w:color="000000" w:fill="F1F1F1"/>
            <w:noWrap/>
            <w:vAlign w:val="center"/>
          </w:tcPr>
          <w:p w14:paraId="2B96313B">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国有资本经营预算财政拨款支出决算表</w:t>
            </w:r>
          </w:p>
        </w:tc>
        <w:tc>
          <w:tcPr>
            <w:tcW w:w="583" w:type="pct"/>
            <w:tcBorders>
              <w:top w:val="nil"/>
              <w:left w:val="nil"/>
              <w:bottom w:val="single" w:color="D4D4D4" w:sz="4" w:space="0"/>
              <w:right w:val="single" w:color="D4D4D4" w:sz="4" w:space="0"/>
            </w:tcBorders>
            <w:shd w:val="clear" w:color="000000" w:fill="D6F6EF"/>
            <w:noWrap/>
            <w:vAlign w:val="center"/>
          </w:tcPr>
          <w:p w14:paraId="32508B05">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是</w:t>
            </w:r>
          </w:p>
        </w:tc>
        <w:tc>
          <w:tcPr>
            <w:tcW w:w="1366" w:type="pct"/>
            <w:tcBorders>
              <w:top w:val="nil"/>
              <w:left w:val="nil"/>
              <w:bottom w:val="single" w:color="D4D4D4" w:sz="4" w:space="0"/>
              <w:right w:val="single" w:color="D4D4D4" w:sz="4" w:space="0"/>
            </w:tcBorders>
            <w:shd w:val="clear" w:color="000000" w:fill="FFFFFF"/>
            <w:noWrap/>
            <w:vAlign w:val="center"/>
          </w:tcPr>
          <w:p w14:paraId="29C4E194">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本部门不涉及故公开空表</w:t>
            </w:r>
          </w:p>
        </w:tc>
      </w:tr>
      <w:tr w14:paraId="738A882B">
        <w:tblPrEx>
          <w:tblCellMar>
            <w:top w:w="0" w:type="dxa"/>
            <w:left w:w="108" w:type="dxa"/>
            <w:bottom w:w="0" w:type="dxa"/>
            <w:right w:w="108" w:type="dxa"/>
          </w:tblCellMar>
        </w:tblPrEx>
        <w:trPr>
          <w:trHeight w:val="900" w:hRule="atLeast"/>
        </w:trPr>
        <w:tc>
          <w:tcPr>
            <w:tcW w:w="337" w:type="pct"/>
            <w:tcBorders>
              <w:top w:val="nil"/>
              <w:left w:val="nil"/>
              <w:bottom w:val="single" w:color="D4D4D4" w:sz="4" w:space="0"/>
              <w:right w:val="single" w:color="D4D4D4" w:sz="4" w:space="0"/>
            </w:tcBorders>
            <w:shd w:val="clear" w:color="000000" w:fill="F1F1F1"/>
            <w:noWrap/>
            <w:vAlign w:val="center"/>
          </w:tcPr>
          <w:p w14:paraId="52479A00">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表9</w:t>
            </w:r>
          </w:p>
        </w:tc>
        <w:tc>
          <w:tcPr>
            <w:tcW w:w="2712" w:type="pct"/>
            <w:tcBorders>
              <w:top w:val="nil"/>
              <w:left w:val="nil"/>
              <w:bottom w:val="single" w:color="D4D4D4" w:sz="4" w:space="0"/>
              <w:right w:val="single" w:color="D4D4D4" w:sz="4" w:space="0"/>
            </w:tcBorders>
            <w:shd w:val="clear" w:color="000000" w:fill="F1F1F1"/>
            <w:noWrap/>
            <w:vAlign w:val="center"/>
          </w:tcPr>
          <w:p w14:paraId="7B0FE3BC">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财政拨款“三公”经费及会议费、培训费支出决算表</w:t>
            </w:r>
          </w:p>
        </w:tc>
        <w:tc>
          <w:tcPr>
            <w:tcW w:w="583" w:type="pct"/>
            <w:tcBorders>
              <w:top w:val="nil"/>
              <w:left w:val="nil"/>
              <w:bottom w:val="single" w:color="D4D4D4" w:sz="4" w:space="0"/>
              <w:right w:val="single" w:color="D4D4D4" w:sz="4" w:space="0"/>
            </w:tcBorders>
            <w:shd w:val="clear" w:color="000000" w:fill="D6F6EF"/>
            <w:noWrap/>
            <w:vAlign w:val="center"/>
          </w:tcPr>
          <w:p w14:paraId="61844423">
            <w:pPr>
              <w:widowControl/>
              <w:shd w:val="clear" w:color="auto" w:fill="auto"/>
              <w:jc w:val="center"/>
              <w:rPr>
                <w:rFonts w:hint="eastAsia" w:ascii="宋体" w:hAnsi="宋体" w:cs="宋体"/>
                <w:color w:val="auto"/>
                <w:kern w:val="0"/>
                <w:sz w:val="22"/>
                <w:szCs w:val="22"/>
              </w:rPr>
            </w:pPr>
            <w:r>
              <w:rPr>
                <w:rFonts w:hint="eastAsia" w:ascii="宋体" w:hAnsi="宋体" w:cs="宋体"/>
                <w:color w:val="auto"/>
                <w:kern w:val="0"/>
                <w:sz w:val="22"/>
                <w:szCs w:val="22"/>
              </w:rPr>
              <w:t>是</w:t>
            </w:r>
          </w:p>
        </w:tc>
        <w:tc>
          <w:tcPr>
            <w:tcW w:w="1366" w:type="pct"/>
            <w:tcBorders>
              <w:top w:val="nil"/>
              <w:left w:val="nil"/>
              <w:bottom w:val="single" w:color="D4D4D4" w:sz="4" w:space="0"/>
              <w:right w:val="single" w:color="D4D4D4" w:sz="4" w:space="0"/>
            </w:tcBorders>
            <w:shd w:val="clear" w:color="000000" w:fill="FFFFFF"/>
            <w:noWrap/>
            <w:vAlign w:val="center"/>
          </w:tcPr>
          <w:p w14:paraId="6F2684C1">
            <w:pPr>
              <w:widowControl/>
              <w:shd w:val="clear" w:color="auto" w:fill="auto"/>
              <w:jc w:val="left"/>
              <w:rPr>
                <w:rFonts w:hint="eastAsia" w:ascii="宋体" w:hAnsi="宋体" w:cs="宋体"/>
                <w:color w:val="auto"/>
                <w:kern w:val="0"/>
                <w:sz w:val="22"/>
                <w:szCs w:val="22"/>
              </w:rPr>
            </w:pPr>
            <w:r>
              <w:rPr>
                <w:rFonts w:hint="eastAsia" w:ascii="宋体" w:hAnsi="宋体" w:cs="宋体"/>
                <w:color w:val="auto"/>
                <w:kern w:val="0"/>
                <w:sz w:val="22"/>
                <w:szCs w:val="22"/>
              </w:rPr>
              <w:t>本部门不涉及故公开空表</w:t>
            </w:r>
          </w:p>
        </w:tc>
      </w:tr>
    </w:tbl>
    <w:p w14:paraId="4422B448">
      <w:pPr>
        <w:widowControl/>
        <w:shd w:val="clear" w:color="auto" w:fill="auto"/>
        <w:jc w:val="left"/>
        <w:rPr>
          <w:rFonts w:hint="eastAsia" w:ascii="宋体" w:hAnsi="宋体" w:cs="宋体"/>
          <w:color w:val="auto"/>
          <w:kern w:val="0"/>
          <w:szCs w:val="21"/>
        </w:rPr>
      </w:pPr>
    </w:p>
    <w:p w14:paraId="32871BD3">
      <w:pPr>
        <w:widowControl/>
        <w:jc w:val="left"/>
        <w:rPr>
          <w:rFonts w:hint="eastAsia" w:ascii="宋体" w:hAnsi="宋体" w:cs="宋体"/>
          <w:color w:val="000000"/>
          <w:kern w:val="0"/>
          <w:szCs w:val="21"/>
        </w:rPr>
      </w:pPr>
    </w:p>
    <w:p w14:paraId="40EFA61F">
      <w:pPr>
        <w:widowControl/>
        <w:jc w:val="left"/>
        <w:rPr>
          <w:rFonts w:hint="eastAsia" w:ascii="宋体" w:hAnsi="宋体" w:cs="宋体"/>
          <w:color w:val="000000"/>
          <w:kern w:val="0"/>
          <w:szCs w:val="21"/>
        </w:rPr>
      </w:pPr>
    </w:p>
    <w:p w14:paraId="6F7FC998">
      <w:pPr>
        <w:widowControl/>
        <w:jc w:val="left"/>
        <w:rPr>
          <w:rFonts w:hint="eastAsia" w:ascii="宋体" w:hAnsi="宋体" w:cs="宋体"/>
          <w:color w:val="000000"/>
          <w:kern w:val="0"/>
          <w:szCs w:val="21"/>
        </w:rPr>
      </w:pPr>
    </w:p>
    <w:p w14:paraId="53627DE6">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drawing>
          <wp:inline distT="0" distB="0" distL="114300" distR="114300">
            <wp:extent cx="5273040" cy="7615555"/>
            <wp:effectExtent l="0" t="0" r="3810" b="4445"/>
            <wp:docPr id="8" name="图片 24" descr="176007996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4" descr="1760079969670"/>
                    <pic:cNvPicPr>
                      <a:picLocks noChangeAspect="1"/>
                    </pic:cNvPicPr>
                  </pic:nvPicPr>
                  <pic:blipFill>
                    <a:blip r:embed="rId13"/>
                    <a:stretch>
                      <a:fillRect/>
                    </a:stretch>
                  </pic:blipFill>
                  <pic:spPr>
                    <a:xfrm>
                      <a:off x="0" y="0"/>
                      <a:ext cx="5273040" cy="7615555"/>
                    </a:xfrm>
                    <a:prstGeom prst="rect">
                      <a:avLst/>
                    </a:prstGeom>
                    <a:noFill/>
                    <a:ln>
                      <a:noFill/>
                    </a:ln>
                  </pic:spPr>
                </pic:pic>
              </a:graphicData>
            </a:graphic>
          </wp:inline>
        </w:drawing>
      </w:r>
    </w:p>
    <w:p w14:paraId="75DA81FA">
      <w:pPr>
        <w:widowControl/>
        <w:jc w:val="left"/>
        <w:rPr>
          <w:rFonts w:hint="eastAsia" w:ascii="宋体" w:hAnsi="宋体" w:cs="宋体"/>
          <w:color w:val="000000"/>
          <w:kern w:val="0"/>
          <w:szCs w:val="21"/>
        </w:rPr>
      </w:pPr>
    </w:p>
    <w:p w14:paraId="30D27BF5">
      <w:pPr>
        <w:widowControl/>
        <w:jc w:val="left"/>
        <w:rPr>
          <w:rFonts w:hint="eastAsia" w:ascii="宋体" w:hAnsi="宋体" w:cs="宋体"/>
          <w:color w:val="000000"/>
          <w:kern w:val="0"/>
          <w:szCs w:val="21"/>
        </w:rPr>
      </w:pPr>
    </w:p>
    <w:p w14:paraId="3AD4EB01">
      <w:pPr>
        <w:widowControl/>
        <w:jc w:val="left"/>
        <w:rPr>
          <w:rFonts w:hint="eastAsia" w:ascii="宋体" w:hAnsi="宋体" w:cs="宋体"/>
          <w:color w:val="000000"/>
          <w:kern w:val="0"/>
          <w:szCs w:val="21"/>
        </w:rPr>
      </w:pPr>
    </w:p>
    <w:p w14:paraId="55B20281">
      <w:pPr>
        <w:widowControl/>
        <w:jc w:val="left"/>
        <w:rPr>
          <w:rFonts w:hint="eastAsia" w:ascii="宋体" w:hAnsi="宋体" w:cs="宋体"/>
          <w:color w:val="000000"/>
          <w:kern w:val="0"/>
          <w:szCs w:val="21"/>
        </w:rPr>
      </w:pPr>
    </w:p>
    <w:p w14:paraId="4D7AFEC1">
      <w:pPr>
        <w:widowControl/>
        <w:jc w:val="left"/>
        <w:rPr>
          <w:rFonts w:hint="eastAsia" w:ascii="宋体" w:hAnsi="宋体" w:cs="宋体"/>
          <w:color w:val="000000"/>
          <w:kern w:val="0"/>
          <w:szCs w:val="21"/>
        </w:rPr>
      </w:pPr>
    </w:p>
    <w:p w14:paraId="6F9955F4">
      <w:pPr>
        <w:widowControl/>
        <w:jc w:val="left"/>
        <w:rPr>
          <w:rFonts w:hint="eastAsia" w:ascii="宋体" w:hAnsi="宋体" w:cs="宋体"/>
          <w:color w:val="000000"/>
          <w:kern w:val="0"/>
          <w:szCs w:val="21"/>
        </w:rPr>
      </w:pPr>
    </w:p>
    <w:p w14:paraId="3F978F22">
      <w:pPr>
        <w:widowControl/>
        <w:jc w:val="left"/>
        <w:rPr>
          <w:rFonts w:hint="eastAsia" w:ascii="宋体" w:hAnsi="宋体" w:cs="宋体"/>
          <w:color w:val="000000"/>
          <w:kern w:val="0"/>
          <w:szCs w:val="21"/>
        </w:rPr>
      </w:pPr>
      <w:r>
        <w:rPr>
          <w:rFonts w:hint="eastAsia" w:ascii="宋体" w:hAnsi="宋体" w:cs="宋体"/>
          <w:b/>
          <w:bCs/>
          <w:szCs w:val="21"/>
        </w:rPr>
        <w:br w:type="page"/>
      </w:r>
      <w:r>
        <w:rPr>
          <w:rFonts w:hint="eastAsia" w:ascii="宋体" w:hAnsi="宋体" w:cs="宋体"/>
          <w:b/>
          <w:bCs/>
          <w:szCs w:val="21"/>
        </w:rPr>
        <w:object>
          <v:shape id="_x0000_i1042" o:spt="75" type="#_x0000_t75" style="height:457.45pt;width:453.95pt;" o:ole="t" filled="f" o:preferrelative="t" stroked="f" coordsize="21600,21600">
            <v:path/>
            <v:fill on="f" focussize="0,0"/>
            <v:stroke on="f"/>
            <v:imagedata r:id="rId15" o:title=""/>
            <o:lock v:ext="edit" aspectratio="t"/>
            <w10:wrap type="none"/>
            <w10:anchorlock/>
          </v:shape>
          <o:OLEObject Type="Embed" ProgID="Excel.Sheet.12" ShapeID="_x0000_i1042" DrawAspect="Content" ObjectID="_1468075725" r:id="rId14">
            <o:LockedField>false</o:LockedField>
          </o:OLEObject>
        </w:object>
      </w:r>
    </w:p>
    <w:p w14:paraId="657223EC">
      <w:pPr>
        <w:widowControl/>
        <w:jc w:val="left"/>
        <w:rPr>
          <w:rFonts w:hint="eastAsia" w:ascii="宋体" w:hAnsi="宋体" w:cs="宋体"/>
          <w:color w:val="000000"/>
          <w:kern w:val="0"/>
          <w:szCs w:val="21"/>
        </w:rPr>
      </w:pPr>
    </w:p>
    <w:p w14:paraId="5C377715">
      <w:pPr>
        <w:widowControl/>
        <w:jc w:val="left"/>
        <w:rPr>
          <w:rFonts w:hint="eastAsia" w:ascii="宋体" w:hAnsi="宋体" w:cs="宋体"/>
          <w:color w:val="000000"/>
          <w:kern w:val="0"/>
          <w:szCs w:val="21"/>
        </w:rPr>
      </w:pPr>
    </w:p>
    <w:p w14:paraId="43AC7150">
      <w:pPr>
        <w:widowControl/>
        <w:jc w:val="left"/>
        <w:rPr>
          <w:rFonts w:hint="eastAsia" w:ascii="宋体" w:hAnsi="宋体" w:cs="宋体"/>
          <w:color w:val="000000"/>
          <w:kern w:val="0"/>
          <w:szCs w:val="21"/>
        </w:rPr>
      </w:pPr>
      <w:r>
        <w:rPr>
          <w:rFonts w:hint="eastAsia" w:ascii="宋体" w:hAnsi="宋体" w:cs="宋体"/>
          <w:b/>
          <w:bCs/>
          <w:szCs w:val="21"/>
        </w:rPr>
        <w:object>
          <v:shape id="_x0000_i1043" o:spt="75" type="#_x0000_t75" style="height:455.1pt;width:434.25pt;" o:ole="t" filled="f" o:preferrelative="t" stroked="f" coordsize="21600,21600">
            <v:path/>
            <v:fill on="f" focussize="0,0"/>
            <v:stroke on="f"/>
            <v:imagedata r:id="rId17" o:title=""/>
            <o:lock v:ext="edit" aspectratio="t"/>
            <w10:wrap type="none"/>
            <w10:anchorlock/>
          </v:shape>
          <o:OLEObject Type="Embed" ProgID="Excel.Sheet.12" ShapeID="_x0000_i1043" DrawAspect="Content" ObjectID="_1468075726" r:id="rId16">
            <o:LockedField>false</o:LockedField>
          </o:OLEObject>
        </w:object>
      </w:r>
    </w:p>
    <w:p w14:paraId="56FD8E22">
      <w:pPr>
        <w:widowControl/>
        <w:jc w:val="left"/>
        <w:rPr>
          <w:rFonts w:hint="eastAsia" w:ascii="宋体" w:hAnsi="宋体" w:cs="宋体"/>
          <w:color w:val="000000"/>
          <w:kern w:val="0"/>
          <w:szCs w:val="21"/>
        </w:rPr>
      </w:pPr>
    </w:p>
    <w:p w14:paraId="7C62846A">
      <w:pPr>
        <w:widowControl/>
        <w:jc w:val="left"/>
        <w:rPr>
          <w:rFonts w:hint="eastAsia" w:ascii="宋体" w:hAnsi="宋体" w:cs="宋体"/>
          <w:color w:val="000000"/>
          <w:kern w:val="0"/>
          <w:szCs w:val="21"/>
        </w:rPr>
      </w:pPr>
    </w:p>
    <w:p w14:paraId="40672E34">
      <w:pPr>
        <w:widowControl/>
        <w:jc w:val="left"/>
        <w:rPr>
          <w:rFonts w:hint="eastAsia" w:ascii="宋体" w:hAnsi="宋体" w:cs="宋体"/>
          <w:color w:val="000000"/>
          <w:kern w:val="0"/>
          <w:szCs w:val="21"/>
        </w:rPr>
      </w:pPr>
    </w:p>
    <w:p w14:paraId="1C2EC096">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drawing>
          <wp:inline distT="0" distB="0" distL="114300" distR="114300">
            <wp:extent cx="5299075" cy="5704205"/>
            <wp:effectExtent l="0" t="0" r="15875" b="10795"/>
            <wp:docPr id="9" name="图片 25" descr="176008003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5" descr="1760080031927"/>
                    <pic:cNvPicPr>
                      <a:picLocks noChangeAspect="1"/>
                    </pic:cNvPicPr>
                  </pic:nvPicPr>
                  <pic:blipFill>
                    <a:blip r:embed="rId18"/>
                    <a:stretch>
                      <a:fillRect/>
                    </a:stretch>
                  </pic:blipFill>
                  <pic:spPr>
                    <a:xfrm>
                      <a:off x="0" y="0"/>
                      <a:ext cx="5299075" cy="5704205"/>
                    </a:xfrm>
                    <a:prstGeom prst="rect">
                      <a:avLst/>
                    </a:prstGeom>
                    <a:noFill/>
                    <a:ln>
                      <a:noFill/>
                    </a:ln>
                  </pic:spPr>
                </pic:pic>
              </a:graphicData>
            </a:graphic>
          </wp:inline>
        </w:drawing>
      </w:r>
    </w:p>
    <w:p w14:paraId="1887FB13">
      <w:pPr>
        <w:widowControl/>
        <w:jc w:val="left"/>
        <w:rPr>
          <w:rFonts w:hint="eastAsia" w:ascii="宋体" w:hAnsi="宋体" w:cs="宋体"/>
          <w:color w:val="000000"/>
          <w:kern w:val="0"/>
          <w:szCs w:val="21"/>
        </w:rPr>
      </w:pPr>
    </w:p>
    <w:p w14:paraId="5F4E95C6">
      <w:pPr>
        <w:widowControl/>
        <w:jc w:val="left"/>
        <w:rPr>
          <w:rFonts w:hint="eastAsia" w:ascii="宋体" w:hAnsi="宋体" w:cs="宋体"/>
          <w:color w:val="000000"/>
          <w:kern w:val="0"/>
          <w:szCs w:val="21"/>
        </w:rPr>
      </w:pPr>
    </w:p>
    <w:p w14:paraId="53A5A0BE">
      <w:pPr>
        <w:widowControl/>
        <w:jc w:val="left"/>
        <w:rPr>
          <w:rFonts w:hint="eastAsia" w:ascii="宋体" w:hAnsi="宋体" w:cs="宋体"/>
          <w:color w:val="000000"/>
          <w:kern w:val="0"/>
          <w:szCs w:val="21"/>
        </w:rPr>
      </w:pPr>
    </w:p>
    <w:p w14:paraId="6D8D09EF">
      <w:pPr>
        <w:widowControl/>
        <w:jc w:val="left"/>
        <w:rPr>
          <w:rFonts w:hint="eastAsia" w:ascii="宋体" w:hAnsi="宋体" w:cs="宋体"/>
          <w:color w:val="000000"/>
          <w:kern w:val="0"/>
          <w:szCs w:val="21"/>
        </w:rPr>
      </w:pPr>
    </w:p>
    <w:p w14:paraId="2DBC0297">
      <w:pPr>
        <w:widowControl/>
        <w:jc w:val="left"/>
        <w:rPr>
          <w:rFonts w:hint="eastAsia" w:ascii="宋体" w:hAnsi="宋体" w:cs="宋体"/>
          <w:color w:val="000000"/>
          <w:kern w:val="0"/>
          <w:szCs w:val="21"/>
        </w:rPr>
      </w:pPr>
    </w:p>
    <w:p w14:paraId="7AD88DF4">
      <w:pPr>
        <w:widowControl/>
        <w:jc w:val="left"/>
        <w:rPr>
          <w:rFonts w:hint="eastAsia" w:ascii="宋体" w:hAnsi="宋体" w:cs="宋体"/>
          <w:color w:val="000000"/>
          <w:kern w:val="0"/>
          <w:szCs w:val="21"/>
        </w:rPr>
      </w:pPr>
    </w:p>
    <w:p w14:paraId="47135985">
      <w:pPr>
        <w:widowControl/>
        <w:jc w:val="left"/>
        <w:rPr>
          <w:rFonts w:hint="eastAsia" w:ascii="宋体" w:hAnsi="宋体" w:cs="宋体"/>
          <w:color w:val="000000"/>
          <w:kern w:val="0"/>
          <w:szCs w:val="21"/>
        </w:rPr>
      </w:pPr>
    </w:p>
    <w:p w14:paraId="12947E85">
      <w:pPr>
        <w:widowControl/>
        <w:jc w:val="left"/>
        <w:rPr>
          <w:rFonts w:hint="eastAsia" w:ascii="宋体" w:hAnsi="宋体" w:cs="宋体"/>
          <w:color w:val="000000"/>
          <w:kern w:val="0"/>
          <w:szCs w:val="21"/>
        </w:rPr>
      </w:pPr>
    </w:p>
    <w:p w14:paraId="390C24D8">
      <w:pPr>
        <w:widowControl/>
        <w:jc w:val="left"/>
        <w:rPr>
          <w:rFonts w:hint="eastAsia" w:ascii="宋体" w:hAnsi="宋体" w:cs="宋体"/>
          <w:color w:val="000000"/>
          <w:kern w:val="0"/>
          <w:szCs w:val="21"/>
        </w:rPr>
      </w:pPr>
    </w:p>
    <w:p w14:paraId="64F5EA1A">
      <w:pPr>
        <w:widowControl/>
        <w:jc w:val="left"/>
        <w:rPr>
          <w:rFonts w:hint="eastAsia" w:ascii="宋体" w:hAnsi="宋体" w:cs="宋体"/>
          <w:color w:val="000000"/>
          <w:kern w:val="0"/>
          <w:szCs w:val="21"/>
        </w:rPr>
      </w:pPr>
      <w:r>
        <w:rPr>
          <w:rFonts w:hint="eastAsia" w:ascii="宋体" w:hAnsi="宋体" w:cs="宋体"/>
          <w:color w:val="000000"/>
          <w:kern w:val="0"/>
          <w:szCs w:val="21"/>
        </w:rPr>
        <w:object>
          <v:shape id="_x0000_i1031" o:spt="75" type="#_x0000_t75" style="height:611.85pt;width:412.65pt;" o:ole="t" filled="f" o:preferrelative="t" stroked="f" coordsize="21600,21600">
            <v:path/>
            <v:fill on="f" focussize="0,0"/>
            <v:stroke on="f"/>
            <v:imagedata r:id="rId20" o:title=""/>
            <o:lock v:ext="edit" aspectratio="t"/>
            <w10:wrap type="none"/>
            <w10:anchorlock/>
          </v:shape>
          <o:OLEObject Type="Embed" ProgID="Excel.Sheet.12" ShapeID="_x0000_i1031" DrawAspect="Content" ObjectID="_1468075727" r:id="rId19">
            <o:LockedField>false</o:LockedField>
          </o:OLEObject>
        </w:object>
      </w:r>
    </w:p>
    <w:p w14:paraId="740C7A4B">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drawing>
          <wp:inline distT="0" distB="0" distL="114300" distR="114300">
            <wp:extent cx="5257800" cy="3640455"/>
            <wp:effectExtent l="0" t="0" r="0" b="17145"/>
            <wp:docPr id="10" name="图片 26" descr="176008007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6" descr="1760080072109"/>
                    <pic:cNvPicPr>
                      <a:picLocks noChangeAspect="1"/>
                    </pic:cNvPicPr>
                  </pic:nvPicPr>
                  <pic:blipFill>
                    <a:blip r:embed="rId21"/>
                    <a:stretch>
                      <a:fillRect/>
                    </a:stretch>
                  </pic:blipFill>
                  <pic:spPr>
                    <a:xfrm>
                      <a:off x="0" y="0"/>
                      <a:ext cx="5257800" cy="3640455"/>
                    </a:xfrm>
                    <a:prstGeom prst="rect">
                      <a:avLst/>
                    </a:prstGeom>
                    <a:noFill/>
                    <a:ln>
                      <a:noFill/>
                    </a:ln>
                  </pic:spPr>
                </pic:pic>
              </a:graphicData>
            </a:graphic>
          </wp:inline>
        </w:drawing>
      </w:r>
    </w:p>
    <w:p w14:paraId="753E3E16">
      <w:pPr>
        <w:widowControl/>
        <w:jc w:val="left"/>
        <w:rPr>
          <w:rFonts w:hint="eastAsia" w:ascii="宋体" w:hAnsi="宋体" w:cs="宋体"/>
          <w:color w:val="000000"/>
          <w:kern w:val="0"/>
          <w:szCs w:val="21"/>
        </w:rPr>
      </w:pPr>
    </w:p>
    <w:p w14:paraId="0354DFC8">
      <w:pPr>
        <w:widowControl/>
        <w:jc w:val="left"/>
        <w:rPr>
          <w:rFonts w:hint="eastAsia" w:ascii="宋体" w:hAnsi="宋体" w:cs="宋体"/>
          <w:color w:val="000000"/>
          <w:kern w:val="0"/>
          <w:szCs w:val="21"/>
        </w:rPr>
      </w:pPr>
    </w:p>
    <w:p w14:paraId="28EBFDB4">
      <w:pPr>
        <w:widowControl/>
        <w:jc w:val="left"/>
        <w:rPr>
          <w:rFonts w:hint="eastAsia" w:ascii="宋体" w:hAnsi="宋体" w:cs="宋体"/>
          <w:color w:val="000000"/>
          <w:kern w:val="0"/>
          <w:szCs w:val="21"/>
        </w:rPr>
      </w:pPr>
    </w:p>
    <w:p w14:paraId="2EEFD2B1">
      <w:pPr>
        <w:widowControl/>
        <w:jc w:val="left"/>
        <w:rPr>
          <w:rFonts w:hint="eastAsia" w:ascii="宋体" w:hAnsi="宋体" w:cs="宋体"/>
          <w:color w:val="000000"/>
          <w:kern w:val="0"/>
          <w:szCs w:val="21"/>
        </w:rPr>
      </w:pPr>
    </w:p>
    <w:p w14:paraId="3057C56A">
      <w:pPr>
        <w:widowControl/>
        <w:jc w:val="left"/>
        <w:rPr>
          <w:rFonts w:hint="eastAsia" w:ascii="宋体" w:hAnsi="宋体" w:cs="宋体"/>
          <w:color w:val="000000"/>
          <w:kern w:val="0"/>
          <w:szCs w:val="21"/>
        </w:rPr>
      </w:pPr>
    </w:p>
    <w:p w14:paraId="379EAAFF">
      <w:pPr>
        <w:widowControl/>
        <w:jc w:val="left"/>
        <w:rPr>
          <w:rFonts w:hint="eastAsia" w:ascii="宋体" w:hAnsi="宋体" w:cs="宋体"/>
          <w:color w:val="000000"/>
          <w:kern w:val="0"/>
          <w:szCs w:val="21"/>
        </w:rPr>
      </w:pPr>
    </w:p>
    <w:p w14:paraId="4A2BF28C">
      <w:pPr>
        <w:widowControl/>
        <w:jc w:val="left"/>
        <w:rPr>
          <w:rFonts w:hint="eastAsia" w:ascii="宋体" w:hAnsi="宋体" w:cs="宋体"/>
          <w:color w:val="000000"/>
          <w:kern w:val="0"/>
          <w:szCs w:val="21"/>
        </w:rPr>
      </w:pPr>
    </w:p>
    <w:p w14:paraId="1823F232">
      <w:pPr>
        <w:widowControl/>
        <w:jc w:val="left"/>
        <w:rPr>
          <w:rFonts w:hint="eastAsia" w:ascii="宋体" w:hAnsi="宋体" w:cs="宋体"/>
          <w:color w:val="000000"/>
          <w:kern w:val="0"/>
          <w:szCs w:val="21"/>
        </w:rPr>
      </w:pPr>
      <w:r>
        <w:rPr>
          <w:rFonts w:hint="eastAsia" w:ascii="宋体" w:hAnsi="宋体" w:cs="宋体"/>
          <w:szCs w:val="21"/>
        </w:rPr>
        <w:object>
          <v:shape id="_x0000_i1033" o:spt="75" type="#_x0000_t75" style="height:703.4pt;width:416.5pt;" o:ole="t" filled="f" o:preferrelative="t" stroked="f" coordsize="21600,21600">
            <v:path/>
            <v:fill on="f" focussize="0,0"/>
            <v:stroke on="f"/>
            <v:imagedata r:id="rId23" o:title=""/>
            <o:lock v:ext="edit" aspectratio="t"/>
            <w10:wrap type="none"/>
            <w10:anchorlock/>
          </v:shape>
          <o:OLEObject Type="Embed" ProgID="Excel.Sheet.12" ShapeID="_x0000_i1033" DrawAspect="Content" ObjectID="_1468075728" r:id="rId22">
            <o:LockedField>false</o:LockedField>
          </o:OLEObject>
        </w:object>
      </w:r>
    </w:p>
    <w:p w14:paraId="14680C12">
      <w:pPr>
        <w:widowControl/>
        <w:jc w:val="left"/>
        <w:rPr>
          <w:rFonts w:hint="eastAsia" w:ascii="宋体" w:hAnsi="宋体" w:cs="宋体"/>
          <w:color w:val="000000"/>
          <w:kern w:val="0"/>
          <w:szCs w:val="21"/>
        </w:rPr>
      </w:pPr>
      <w:r>
        <w:rPr>
          <w:rFonts w:hint="eastAsia" w:ascii="宋体" w:hAnsi="宋体" w:cs="宋体"/>
          <w:szCs w:val="21"/>
        </w:rPr>
        <w:object>
          <v:shape id="_x0000_i1034" o:spt="75" type="#_x0000_t75" style="height:657pt;width:416.25pt;" o:ole="t" filled="f" o:preferrelative="t" stroked="f" coordsize="21600,21600">
            <v:path/>
            <v:fill on="f" focussize="0,0"/>
            <v:stroke on="f"/>
            <v:imagedata r:id="rId25" o:title=""/>
            <o:lock v:ext="edit" aspectratio="t"/>
            <w10:wrap type="none"/>
            <w10:anchorlock/>
          </v:shape>
          <o:OLEObject Type="Embed" ProgID="Excel.Sheet.12" ShapeID="_x0000_i1034" DrawAspect="Content" ObjectID="_1468075729" r:id="rId24">
            <o:LockedField>false</o:LockedField>
          </o:OLEObject>
        </w:object>
      </w:r>
    </w:p>
    <w:p w14:paraId="0B99796F">
      <w:pPr>
        <w:widowControl/>
        <w:jc w:val="left"/>
        <w:rPr>
          <w:rFonts w:hint="eastAsia" w:ascii="宋体" w:hAnsi="宋体" w:cs="宋体"/>
          <w:color w:val="000000"/>
          <w:kern w:val="0"/>
          <w:szCs w:val="21"/>
        </w:rPr>
      </w:pPr>
    </w:p>
    <w:p w14:paraId="262BCA75">
      <w:pPr>
        <w:widowControl/>
        <w:jc w:val="left"/>
        <w:rPr>
          <w:rFonts w:hint="eastAsia" w:ascii="宋体" w:hAnsi="宋体" w:cs="宋体"/>
          <w:color w:val="000000"/>
          <w:kern w:val="0"/>
          <w:szCs w:val="21"/>
        </w:rPr>
      </w:pPr>
      <w:r>
        <w:rPr>
          <w:rFonts w:hint="eastAsia" w:ascii="宋体" w:hAnsi="宋体" w:cs="宋体"/>
          <w:color w:val="000000"/>
          <w:kern w:val="0"/>
          <w:szCs w:val="21"/>
        </w:rPr>
        <w:object>
          <v:shape id="_x0000_i1035" o:spt="75" type="#_x0000_t75" style="height:336.75pt;width:431.4pt;" o:ole="t" filled="f" o:preferrelative="t" stroked="f" coordsize="21600,21600">
            <v:path/>
            <v:fill on="f" focussize="0,0"/>
            <v:stroke on="f"/>
            <v:imagedata r:id="rId27" o:title=""/>
            <o:lock v:ext="edit" aspectratio="t"/>
            <w10:wrap type="none"/>
            <w10:anchorlock/>
          </v:shape>
          <o:OLEObject Type="Embed" ProgID="Excel.Sheet.12" ShapeID="_x0000_i1035" DrawAspect="Content" ObjectID="_1468075730" r:id="rId26">
            <o:LockedField>false</o:LockedField>
          </o:OLEObject>
        </w:object>
      </w:r>
    </w:p>
    <w:p w14:paraId="1A9654C6">
      <w:pPr>
        <w:widowControl/>
        <w:jc w:val="left"/>
        <w:rPr>
          <w:rFonts w:hint="eastAsia" w:ascii="宋体" w:hAnsi="宋体" w:cs="宋体"/>
          <w:color w:val="000000"/>
          <w:kern w:val="0"/>
          <w:szCs w:val="21"/>
        </w:rPr>
      </w:pPr>
    </w:p>
    <w:p w14:paraId="72B812EC">
      <w:pPr>
        <w:jc w:val="center"/>
        <w:rPr>
          <w:rFonts w:hint="eastAsia" w:ascii="方正小标宋简体" w:hAnsi="方正小标宋简体" w:eastAsia="方正小标宋简体" w:cs="方正小标宋简体"/>
          <w:color w:val="000000"/>
          <w:kern w:val="0"/>
          <w:sz w:val="44"/>
          <w:szCs w:val="44"/>
        </w:rPr>
      </w:pPr>
    </w:p>
    <w:p w14:paraId="17EC7960">
      <w:pPr>
        <w:jc w:val="center"/>
        <w:rPr>
          <w:rFonts w:hint="eastAsia" w:ascii="方正小标宋简体" w:hAnsi="方正小标宋简体" w:eastAsia="方正小标宋简体" w:cs="方正小标宋简体"/>
          <w:color w:val="000000"/>
          <w:kern w:val="0"/>
          <w:sz w:val="44"/>
          <w:szCs w:val="44"/>
        </w:rPr>
      </w:pPr>
    </w:p>
    <w:p w14:paraId="0002B4D7">
      <w:pPr>
        <w:jc w:val="center"/>
        <w:rPr>
          <w:rFonts w:hint="eastAsia" w:ascii="方正小标宋简体" w:hAnsi="方正小标宋简体" w:eastAsia="方正小标宋简体" w:cs="方正小标宋简体"/>
          <w:color w:val="000000"/>
          <w:kern w:val="0"/>
          <w:sz w:val="44"/>
          <w:szCs w:val="44"/>
        </w:rPr>
      </w:pPr>
    </w:p>
    <w:p w14:paraId="0F5CFF0D">
      <w:pPr>
        <w:jc w:val="center"/>
        <w:rPr>
          <w:rFonts w:hint="eastAsia" w:ascii="方正小标宋简体" w:hAnsi="方正小标宋简体" w:eastAsia="方正小标宋简体" w:cs="方正小标宋简体"/>
          <w:color w:val="000000"/>
          <w:kern w:val="0"/>
          <w:sz w:val="44"/>
          <w:szCs w:val="44"/>
        </w:rPr>
      </w:pPr>
    </w:p>
    <w:p w14:paraId="153CF73B">
      <w:pPr>
        <w:jc w:val="center"/>
        <w:rPr>
          <w:rFonts w:hint="eastAsia" w:ascii="方正小标宋简体" w:hAnsi="方正小标宋简体" w:eastAsia="方正小标宋简体" w:cs="方正小标宋简体"/>
          <w:color w:val="000000"/>
          <w:kern w:val="0"/>
          <w:sz w:val="44"/>
          <w:szCs w:val="44"/>
        </w:rPr>
      </w:pPr>
    </w:p>
    <w:p w14:paraId="3CAE4A9B">
      <w:pPr>
        <w:jc w:val="center"/>
        <w:rPr>
          <w:rFonts w:hint="eastAsia" w:ascii="方正小标宋简体" w:hAnsi="方正小标宋简体" w:eastAsia="方正小标宋简体" w:cs="方正小标宋简体"/>
          <w:color w:val="000000"/>
          <w:kern w:val="0"/>
          <w:sz w:val="44"/>
          <w:szCs w:val="44"/>
        </w:rPr>
      </w:pPr>
    </w:p>
    <w:p w14:paraId="6056B6CF">
      <w:pPr>
        <w:jc w:val="center"/>
        <w:rPr>
          <w:rFonts w:hint="eastAsia" w:ascii="方正小标宋简体" w:hAnsi="方正小标宋简体" w:eastAsia="方正小标宋简体" w:cs="方正小标宋简体"/>
          <w:color w:val="000000"/>
          <w:kern w:val="0"/>
          <w:sz w:val="44"/>
          <w:szCs w:val="44"/>
        </w:rPr>
      </w:pPr>
    </w:p>
    <w:p w14:paraId="315B4FE9">
      <w:pPr>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第四部分 专业名词解释</w:t>
      </w:r>
    </w:p>
    <w:p w14:paraId="496E9ED4">
      <w:pPr>
        <w:ind w:firstLine="640" w:firstLineChars="200"/>
        <w:rPr>
          <w:rFonts w:ascii="仿宋_GB2312" w:hAnsi="仿宋_GB2312" w:eastAsia="仿宋_GB2312" w:cs="仿宋_GB2312"/>
          <w:sz w:val="32"/>
          <w:szCs w:val="32"/>
        </w:rPr>
      </w:pPr>
      <w:r>
        <w:rPr>
          <w:rFonts w:hint="eastAsia" w:ascii="楷体" w:hAnsi="楷体" w:eastAsia="楷体" w:cs="楷体"/>
          <w:sz w:val="32"/>
          <w:szCs w:val="32"/>
        </w:rPr>
        <w:t>1.基本支出：</w:t>
      </w:r>
      <w:r>
        <w:rPr>
          <w:rFonts w:hint="eastAsia" w:ascii="仿宋_GB2312" w:hAnsi="仿宋_GB2312" w:eastAsia="仿宋_GB2312" w:cs="仿宋_GB2312"/>
          <w:sz w:val="32"/>
          <w:szCs w:val="32"/>
        </w:rPr>
        <w:t>指为保障机构正常运转、完成日常工作任务而发生的各项支出。</w:t>
      </w:r>
    </w:p>
    <w:p w14:paraId="462BD138">
      <w:pPr>
        <w:ind w:firstLine="640" w:firstLineChars="200"/>
        <w:rPr>
          <w:rFonts w:ascii="仿宋_GB2312" w:hAnsi="仿宋_GB2312" w:eastAsia="仿宋_GB2312" w:cs="仿宋_GB2312"/>
          <w:sz w:val="32"/>
          <w:szCs w:val="32"/>
        </w:rPr>
      </w:pPr>
      <w:r>
        <w:rPr>
          <w:rFonts w:hint="eastAsia" w:ascii="楷体" w:hAnsi="楷体" w:eastAsia="楷体" w:cs="楷体"/>
          <w:sz w:val="32"/>
          <w:szCs w:val="32"/>
        </w:rPr>
        <w:t>2.项目支出：</w:t>
      </w:r>
      <w:r>
        <w:rPr>
          <w:rFonts w:hint="eastAsia" w:ascii="仿宋_GB2312" w:hAnsi="仿宋_GB2312" w:eastAsia="仿宋_GB2312" w:cs="仿宋_GB2312"/>
          <w:sz w:val="32"/>
          <w:szCs w:val="32"/>
        </w:rPr>
        <w:t>指单位为完成特定的行政工作任务或事业发展目标所发生的各项支出。</w:t>
      </w:r>
    </w:p>
    <w:p w14:paraId="686C7F81">
      <w:pPr>
        <w:ind w:firstLine="640"/>
        <w:rPr>
          <w:rFonts w:ascii="仿宋_GB2312" w:hAnsi="仿宋_GB2312" w:eastAsia="仿宋_GB2312" w:cs="仿宋_GB2312"/>
          <w:sz w:val="32"/>
          <w:szCs w:val="32"/>
        </w:rPr>
      </w:pPr>
      <w:r>
        <w:rPr>
          <w:rFonts w:hint="eastAsia" w:ascii="楷体" w:hAnsi="楷体" w:eastAsia="楷体" w:cs="楷体"/>
          <w:sz w:val="32"/>
          <w:szCs w:val="32"/>
        </w:rPr>
        <w:t>3.“三公”经费：</w:t>
      </w:r>
      <w:r>
        <w:rPr>
          <w:rFonts w:hint="eastAsia" w:ascii="仿宋_GB2312" w:hAnsi="仿宋_GB2312" w:eastAsia="仿宋_GB2312" w:cs="仿宋_GB2312"/>
          <w:sz w:val="32"/>
          <w:szCs w:val="32"/>
        </w:rPr>
        <w:t>指部门使用财政拨款安排的因公出国（境）费、公务用车购置及运行费和公务接待费支出。</w:t>
      </w:r>
    </w:p>
    <w:p w14:paraId="3EC8916F">
      <w:pPr>
        <w:ind w:firstLine="640"/>
        <w:rPr>
          <w:rFonts w:hint="eastAsia" w:ascii="仿宋_GB2312" w:hAnsi="仿宋_GB2312" w:eastAsia="仿宋_GB2312" w:cs="仿宋_GB2312"/>
          <w:sz w:val="32"/>
          <w:szCs w:val="32"/>
        </w:rPr>
      </w:pPr>
      <w:r>
        <w:rPr>
          <w:rFonts w:hint="eastAsia" w:ascii="楷体" w:hAnsi="楷体" w:eastAsia="楷体" w:cs="楷体"/>
          <w:sz w:val="32"/>
          <w:szCs w:val="32"/>
        </w:rPr>
        <w:t>4</w:t>
      </w:r>
      <w:r>
        <w:rPr>
          <w:rFonts w:ascii="楷体" w:hAnsi="楷体" w:eastAsia="楷体" w:cs="楷体"/>
          <w:sz w:val="32"/>
          <w:szCs w:val="32"/>
          <w:lang w:val="en"/>
        </w:rPr>
        <w:t>.</w:t>
      </w:r>
      <w:r>
        <w:rPr>
          <w:rFonts w:hint="eastAsia" w:ascii="楷体" w:hAnsi="楷体" w:eastAsia="楷体" w:cs="楷体"/>
          <w:sz w:val="32"/>
          <w:szCs w:val="32"/>
        </w:rPr>
        <w:t>财政拨款收入：</w:t>
      </w:r>
      <w:r>
        <w:rPr>
          <w:rFonts w:hint="eastAsia" w:ascii="仿宋_GB2312" w:hAnsi="仿宋_GB2312" w:eastAsia="仿宋_GB2312" w:cs="仿宋_GB2312"/>
          <w:sz w:val="32"/>
          <w:szCs w:val="32"/>
        </w:rPr>
        <w:t>指本级财政当年拨付的资金。</w:t>
      </w:r>
    </w:p>
    <w:p w14:paraId="4C8EA3EC">
      <w:pPr>
        <w:ind w:firstLine="640"/>
        <w:rPr>
          <w:rFonts w:hint="eastAsia" w:ascii="仿宋_GB2312" w:hAnsi="仿宋_GB2312" w:eastAsia="仿宋_GB2312" w:cs="仿宋_GB2312"/>
          <w:sz w:val="32"/>
          <w:szCs w:val="32"/>
        </w:rPr>
      </w:pPr>
      <w:r>
        <w:rPr>
          <w:rFonts w:hint="eastAsia" w:ascii="楷体" w:hAnsi="楷体" w:eastAsia="楷体" w:cs="楷体"/>
          <w:sz w:val="32"/>
          <w:szCs w:val="32"/>
        </w:rPr>
        <w:t>5.公用经费：</w:t>
      </w:r>
      <w:r>
        <w:rPr>
          <w:rFonts w:hint="eastAsia" w:ascii="仿宋_GB2312" w:hAnsi="仿宋_GB2312" w:eastAsia="仿宋_GB2312" w:cs="仿宋_GB2312"/>
          <w:sz w:val="32"/>
          <w:szCs w:val="32"/>
        </w:rPr>
        <w:t>指为完成特定的行政工作任务或事业发展目标用于设备设施的维持性费用支出，以及直接用于公务活动的支出，具体包括公务费、业务费、修缮费、设备购置费、其他费用等。</w:t>
      </w:r>
    </w:p>
    <w:p w14:paraId="0F89E2D9">
      <w:pPr>
        <w:ind w:firstLine="640"/>
        <w:rPr>
          <w:rFonts w:hint="eastAsia" w:ascii="仿宋_GB2312" w:hAnsi="仿宋_GB2312" w:eastAsia="仿宋_GB2312" w:cs="仿宋_GB2312"/>
          <w:sz w:val="32"/>
          <w:szCs w:val="32"/>
        </w:rPr>
      </w:pPr>
      <w:r>
        <w:rPr>
          <w:rFonts w:hint="eastAsia" w:ascii="楷体" w:hAnsi="楷体" w:eastAsia="楷体" w:cs="楷体"/>
          <w:sz w:val="32"/>
          <w:szCs w:val="32"/>
        </w:rPr>
        <w:t>6</w:t>
      </w:r>
      <w:r>
        <w:rPr>
          <w:rFonts w:ascii="楷体" w:hAnsi="楷体" w:eastAsia="楷体" w:cs="楷体"/>
          <w:sz w:val="32"/>
          <w:szCs w:val="32"/>
          <w:lang w:val="en"/>
        </w:rPr>
        <w:t>.</w:t>
      </w:r>
      <w:r>
        <w:rPr>
          <w:rFonts w:hint="eastAsia" w:ascii="楷体" w:hAnsi="楷体" w:eastAsia="楷体" w:cs="楷体"/>
          <w:sz w:val="32"/>
          <w:szCs w:val="32"/>
        </w:rPr>
        <w:t>工资福利支出：</w:t>
      </w:r>
      <w:r>
        <w:rPr>
          <w:rFonts w:hint="eastAsia" w:ascii="仿宋_GB2312" w:hAnsi="仿宋_GB2312" w:eastAsia="仿宋_GB2312" w:cs="仿宋_GB2312"/>
          <w:sz w:val="32"/>
          <w:szCs w:val="32"/>
        </w:rPr>
        <w:t>反映开支的在职职工和编制外长期聘用人员的各类劳动报酬，以及上述人员缴纳的各项社会保险费等。</w:t>
      </w:r>
    </w:p>
    <w:p w14:paraId="7B3829ED">
      <w:pPr>
        <w:ind w:firstLine="640"/>
        <w:rPr>
          <w:rFonts w:hint="eastAsia" w:ascii="仿宋_GB2312" w:hAnsi="仿宋_GB2312" w:eastAsia="仿宋_GB2312" w:cs="仿宋_GB2312"/>
          <w:sz w:val="32"/>
          <w:szCs w:val="32"/>
        </w:rPr>
      </w:pPr>
      <w:r>
        <w:rPr>
          <w:rFonts w:hint="eastAsia" w:ascii="楷体" w:hAnsi="楷体" w:eastAsia="楷体" w:cs="楷体"/>
          <w:sz w:val="32"/>
          <w:szCs w:val="32"/>
        </w:rPr>
        <w:t>7</w:t>
      </w:r>
      <w:r>
        <w:rPr>
          <w:rFonts w:ascii="楷体" w:hAnsi="楷体" w:eastAsia="楷体" w:cs="楷体"/>
          <w:sz w:val="32"/>
          <w:szCs w:val="32"/>
          <w:lang w:val="en"/>
        </w:rPr>
        <w:t>.</w:t>
      </w:r>
      <w:r>
        <w:rPr>
          <w:rFonts w:hint="eastAsia" w:ascii="楷体" w:hAnsi="楷体" w:eastAsia="楷体" w:cs="楷体"/>
          <w:sz w:val="32"/>
          <w:szCs w:val="32"/>
        </w:rPr>
        <w:t>结转资金</w:t>
      </w:r>
      <w:r>
        <w:rPr>
          <w:rFonts w:hint="eastAsia" w:ascii="仿宋_GB2312" w:hAnsi="仿宋_GB2312" w:eastAsia="仿宋_GB2312" w:cs="仿宋_GB2312"/>
          <w:sz w:val="32"/>
          <w:szCs w:val="32"/>
        </w:rPr>
        <w:t>：即当年预算已执行但未完成，或者因故未执行，下一年度需要按原用途继续使用的资金。</w:t>
      </w:r>
    </w:p>
    <w:p w14:paraId="6C5F8219">
      <w:pPr>
        <w:ind w:firstLine="640"/>
        <w:rPr>
          <w:rFonts w:hint="eastAsia" w:ascii="仿宋_GB2312" w:hAnsi="仿宋_GB2312" w:eastAsia="仿宋_GB2312" w:cs="仿宋_GB2312"/>
          <w:sz w:val="32"/>
          <w:szCs w:val="32"/>
        </w:rPr>
      </w:pPr>
      <w:r>
        <w:rPr>
          <w:rFonts w:hint="eastAsia" w:ascii="楷体" w:hAnsi="楷体" w:eastAsia="楷体" w:cs="楷体"/>
          <w:sz w:val="32"/>
          <w:szCs w:val="32"/>
        </w:rPr>
        <w:t>8</w:t>
      </w:r>
      <w:r>
        <w:rPr>
          <w:rFonts w:ascii="楷体" w:hAnsi="楷体" w:eastAsia="楷体" w:cs="楷体"/>
          <w:sz w:val="32"/>
          <w:szCs w:val="32"/>
          <w:lang w:val="en"/>
        </w:rPr>
        <w:t>.</w:t>
      </w:r>
      <w:r>
        <w:rPr>
          <w:rFonts w:hint="eastAsia" w:ascii="楷体" w:hAnsi="楷体" w:eastAsia="楷体" w:cs="楷体"/>
          <w:sz w:val="32"/>
          <w:szCs w:val="32"/>
        </w:rPr>
        <w:t>结余资金</w:t>
      </w:r>
      <w:r>
        <w:rPr>
          <w:rFonts w:hint="eastAsia" w:ascii="仿宋_GB2312" w:hAnsi="仿宋_GB2312" w:eastAsia="仿宋_GB2312" w:cs="仿宋_GB2312"/>
          <w:sz w:val="32"/>
          <w:szCs w:val="32"/>
        </w:rPr>
        <w:t>：即当年预算工作目标已完成，或者因故终止，当年剩余的资金。</w:t>
      </w:r>
    </w:p>
    <w:p w14:paraId="5D807149">
      <w:pPr>
        <w:autoSpaceDE w:val="0"/>
        <w:autoSpaceDN w:val="0"/>
        <w:snapToGrid w:val="0"/>
        <w:spacing w:line="550" w:lineRule="exact"/>
        <w:ind w:firstLine="640" w:firstLineChars="200"/>
        <w:rPr>
          <w:rFonts w:ascii="Times New Roman" w:hAnsi="Times New Roman" w:eastAsia="方正仿宋_GBK" w:cs="Times New Roman"/>
          <w:kern w:val="0"/>
          <w:sz w:val="32"/>
          <w:szCs w:val="32"/>
        </w:rPr>
      </w:pPr>
    </w:p>
    <w:p w14:paraId="4E8763D8">
      <w:pPr>
        <w:jc w:val="center"/>
        <w:rPr>
          <w:rFonts w:hint="eastAsia" w:ascii="方正小标宋简体" w:hAnsi="方正小标宋简体" w:eastAsia="方正小标宋简体" w:cs="方正小标宋简体"/>
          <w:color w:val="000000"/>
          <w:kern w:val="0"/>
          <w:sz w:val="44"/>
          <w:szCs w:val="44"/>
        </w:rPr>
      </w:pPr>
    </w:p>
    <w:sectPr>
      <w:footerReference r:id="rId4" w:type="default"/>
      <w:pgSz w:w="11906" w:h="16838"/>
      <w:pgMar w:top="1157" w:right="1800" w:bottom="1440" w:left="1800" w:header="851" w:footer="992" w:gutter="0"/>
      <w:paperSrc/>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4CBAF0-AB46-4B74-BAE6-3CB4F9FA349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1" w:usb1="080E0000" w:usb2="00000000" w:usb3="00000000" w:csb0="00040000" w:csb1="00000000"/>
    <w:embedRegular r:id="rId2" w:fontKey="{A8507251-BBDC-4CD5-9A9B-36138A6C1634}"/>
  </w:font>
  <w:font w:name="仿宋">
    <w:panose1 w:val="02010609060101010101"/>
    <w:charset w:val="86"/>
    <w:family w:val="auto"/>
    <w:pitch w:val="default"/>
    <w:sig w:usb0="800002BF" w:usb1="38CF7CFA" w:usb2="00000016" w:usb3="00000000" w:csb0="00040001" w:csb1="00000000"/>
    <w:embedRegular r:id="rId3" w:fontKey="{AD4DC685-C603-4F72-A074-FBA206C3EA78}"/>
  </w:font>
  <w:font w:name="方正小标宋简体">
    <w:panose1 w:val="02010600010101010101"/>
    <w:charset w:val="86"/>
    <w:family w:val="script"/>
    <w:pitch w:val="default"/>
    <w:sig w:usb0="00000001" w:usb1="080E0000" w:usb2="00000000" w:usb3="00000000" w:csb0="00040000" w:csb1="00000000"/>
    <w:embedRegular r:id="rId4" w:fontKey="{BF22DA33-A11B-45EB-A154-C595F7867F61}"/>
  </w:font>
  <w:font w:name="楷体">
    <w:panose1 w:val="02010609060101010101"/>
    <w:charset w:val="86"/>
    <w:family w:val="auto"/>
    <w:pitch w:val="default"/>
    <w:sig w:usb0="800002BF" w:usb1="38CF7CFA" w:usb2="00000016" w:usb3="00000000" w:csb0="00040001" w:csb1="00000000"/>
    <w:embedRegular r:id="rId5" w:fontKey="{51598AA3-536B-4168-BB11-34DA2C913DD0}"/>
  </w:font>
  <w:font w:name="楷体_GB2312">
    <w:altName w:val="楷体"/>
    <w:panose1 w:val="02010609030101010101"/>
    <w:charset w:val="86"/>
    <w:family w:val="modern"/>
    <w:pitch w:val="default"/>
    <w:sig w:usb0="00000001" w:usb1="080E0000" w:usb2="00000000" w:usb3="00000000" w:csb0="00040000" w:csb1="00000000"/>
    <w:embedRegular r:id="rId6" w:fontKey="{A4C1E837-76B5-451D-9528-E8D13EEB6EF1}"/>
  </w:font>
  <w:font w:name="方正仿宋_GBK">
    <w:panose1 w:val="02000000000000000000"/>
    <w:charset w:val="86"/>
    <w:family w:val="script"/>
    <w:pitch w:val="default"/>
    <w:sig w:usb0="A00002BF" w:usb1="38CF7CFA" w:usb2="00082016" w:usb3="00000000" w:csb0="00040001" w:csb1="00000000"/>
    <w:embedRegular r:id="rId7" w:fontKey="{91120752-1ACA-42D2-BD82-6D1336BA5E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37BAE">
    <w:pPr>
      <w:pStyle w:val="6"/>
      <w:rPr>
        <w:rFonts w:hint="eastAsia" w:ascii="仿宋" w:hAnsi="仿宋" w:eastAsia="仿宋" w:cs="仿宋"/>
        <w:sz w:val="16"/>
        <w:szCs w:val="22"/>
      </w:rPr>
    </w:pPr>
    <w:r>
      <w:rPr>
        <w:rFonts w:hint="eastAsia" w:ascii="仿宋" w:hAnsi="仿宋" w:eastAsia="仿宋" w:cs="仿宋"/>
        <w:sz w:val="16"/>
        <w:szCs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0EA30BAF">
                          <w:pPr>
                            <w:pStyle w:val="6"/>
                          </w:pPr>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CdNCZskBAACeAwAADgAAAAAAAAABACAAAAAfAQAAZHJzL2Uyb0Rv&#10;Yy54bWxQSwUGAAAAAAYABgBZAQAAWgUAAAAA&#10;">
              <v:fill on="f" focussize="0,0"/>
              <v:stroke on="f"/>
              <v:imagedata o:title=""/>
              <o:lock v:ext="edit" aspectratio="f"/>
              <v:textbox inset="0mm,0mm,0mm,0mm" style="mso-fit-shape-to-text:t;">
                <w:txbxContent>
                  <w:p w14:paraId="0EA30BAF">
                    <w:pPr>
                      <w:pStyle w:val="6"/>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9621D">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C24C17"/>
    <w:multiLevelType w:val="singleLevel"/>
    <w:tmpl w:val="E5C24C1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315"/>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AA6038"/>
    <w:rsid w:val="00050E89"/>
    <w:rsid w:val="00146787"/>
    <w:rsid w:val="00164001"/>
    <w:rsid w:val="00183D3E"/>
    <w:rsid w:val="001B1858"/>
    <w:rsid w:val="001D7568"/>
    <w:rsid w:val="002424C8"/>
    <w:rsid w:val="002A7893"/>
    <w:rsid w:val="003364E9"/>
    <w:rsid w:val="00452E2E"/>
    <w:rsid w:val="004B6D6E"/>
    <w:rsid w:val="0062282D"/>
    <w:rsid w:val="006C1CC0"/>
    <w:rsid w:val="00813F4A"/>
    <w:rsid w:val="00B80654"/>
    <w:rsid w:val="00BC74C1"/>
    <w:rsid w:val="00E8111E"/>
    <w:rsid w:val="00F617EA"/>
    <w:rsid w:val="01040F3A"/>
    <w:rsid w:val="01266B07"/>
    <w:rsid w:val="012E1D7E"/>
    <w:rsid w:val="013B79AC"/>
    <w:rsid w:val="01BE4C9B"/>
    <w:rsid w:val="01DD2E1B"/>
    <w:rsid w:val="01F34FBF"/>
    <w:rsid w:val="024318C6"/>
    <w:rsid w:val="028A203B"/>
    <w:rsid w:val="0296004B"/>
    <w:rsid w:val="02975ACD"/>
    <w:rsid w:val="03BE6BB4"/>
    <w:rsid w:val="03DF2408"/>
    <w:rsid w:val="04012B21"/>
    <w:rsid w:val="042E496B"/>
    <w:rsid w:val="04533824"/>
    <w:rsid w:val="04557D8D"/>
    <w:rsid w:val="04C20AC2"/>
    <w:rsid w:val="04E142F5"/>
    <w:rsid w:val="04E9501D"/>
    <w:rsid w:val="050C7454"/>
    <w:rsid w:val="052B1309"/>
    <w:rsid w:val="05520D1A"/>
    <w:rsid w:val="05534A4C"/>
    <w:rsid w:val="05747820"/>
    <w:rsid w:val="05CF0962"/>
    <w:rsid w:val="05CF6594"/>
    <w:rsid w:val="05F54255"/>
    <w:rsid w:val="06450AB7"/>
    <w:rsid w:val="065D0382"/>
    <w:rsid w:val="06892815"/>
    <w:rsid w:val="06963DDF"/>
    <w:rsid w:val="06971578"/>
    <w:rsid w:val="06E573E1"/>
    <w:rsid w:val="06FB3B03"/>
    <w:rsid w:val="06FC3783"/>
    <w:rsid w:val="072E354B"/>
    <w:rsid w:val="07454E7C"/>
    <w:rsid w:val="078523E2"/>
    <w:rsid w:val="078A686A"/>
    <w:rsid w:val="07AF6AAA"/>
    <w:rsid w:val="07BE70C4"/>
    <w:rsid w:val="07D848B5"/>
    <w:rsid w:val="07DF75F9"/>
    <w:rsid w:val="07EC6C16"/>
    <w:rsid w:val="083F5094"/>
    <w:rsid w:val="085C2446"/>
    <w:rsid w:val="087E03FC"/>
    <w:rsid w:val="08AF444E"/>
    <w:rsid w:val="08E42EAC"/>
    <w:rsid w:val="09093B2B"/>
    <w:rsid w:val="093A300D"/>
    <w:rsid w:val="0955265E"/>
    <w:rsid w:val="09BE460B"/>
    <w:rsid w:val="09D851B5"/>
    <w:rsid w:val="0A575703"/>
    <w:rsid w:val="0AF9768E"/>
    <w:rsid w:val="0BD613F8"/>
    <w:rsid w:val="0BD64C7B"/>
    <w:rsid w:val="0BDA3681"/>
    <w:rsid w:val="0D142104"/>
    <w:rsid w:val="0D167A51"/>
    <w:rsid w:val="0D310C40"/>
    <w:rsid w:val="0D660D0F"/>
    <w:rsid w:val="0D843CF4"/>
    <w:rsid w:val="0DB3678A"/>
    <w:rsid w:val="0DCE1532"/>
    <w:rsid w:val="0E3F5DEF"/>
    <w:rsid w:val="0E551145"/>
    <w:rsid w:val="0E703B4B"/>
    <w:rsid w:val="0E764C23"/>
    <w:rsid w:val="0E8457DE"/>
    <w:rsid w:val="0EDE641E"/>
    <w:rsid w:val="0F244062"/>
    <w:rsid w:val="0F307A2D"/>
    <w:rsid w:val="0F8E38CE"/>
    <w:rsid w:val="0FE54120"/>
    <w:rsid w:val="104C4DC9"/>
    <w:rsid w:val="104F5D4E"/>
    <w:rsid w:val="108E789B"/>
    <w:rsid w:val="109240E3"/>
    <w:rsid w:val="10BB651B"/>
    <w:rsid w:val="10DF7BBC"/>
    <w:rsid w:val="10F13359"/>
    <w:rsid w:val="113F0EDA"/>
    <w:rsid w:val="115746CE"/>
    <w:rsid w:val="115E3BBD"/>
    <w:rsid w:val="1167461D"/>
    <w:rsid w:val="11B05D16"/>
    <w:rsid w:val="12324FEA"/>
    <w:rsid w:val="123F0A7C"/>
    <w:rsid w:val="124A2691"/>
    <w:rsid w:val="125A02B9"/>
    <w:rsid w:val="125E2600"/>
    <w:rsid w:val="12650CBC"/>
    <w:rsid w:val="126C0647"/>
    <w:rsid w:val="12B43D9A"/>
    <w:rsid w:val="12B86E1A"/>
    <w:rsid w:val="12DB4D5B"/>
    <w:rsid w:val="12F83AAE"/>
    <w:rsid w:val="132E46A0"/>
    <w:rsid w:val="13394518"/>
    <w:rsid w:val="135556F4"/>
    <w:rsid w:val="13656661"/>
    <w:rsid w:val="13B43E61"/>
    <w:rsid w:val="14261BC1"/>
    <w:rsid w:val="14380E51"/>
    <w:rsid w:val="14411117"/>
    <w:rsid w:val="14950F51"/>
    <w:rsid w:val="1541165F"/>
    <w:rsid w:val="1586116E"/>
    <w:rsid w:val="162064D9"/>
    <w:rsid w:val="16255EFC"/>
    <w:rsid w:val="16421D8B"/>
    <w:rsid w:val="166A79E6"/>
    <w:rsid w:val="16853C7F"/>
    <w:rsid w:val="16874852"/>
    <w:rsid w:val="16DE7B91"/>
    <w:rsid w:val="16E16597"/>
    <w:rsid w:val="17A51B58"/>
    <w:rsid w:val="17C26F0A"/>
    <w:rsid w:val="183539C6"/>
    <w:rsid w:val="1883216C"/>
    <w:rsid w:val="18BB4AD7"/>
    <w:rsid w:val="18C41FB0"/>
    <w:rsid w:val="18E6367D"/>
    <w:rsid w:val="18F71505"/>
    <w:rsid w:val="191252AC"/>
    <w:rsid w:val="19162034"/>
    <w:rsid w:val="194E6691"/>
    <w:rsid w:val="197C5EDB"/>
    <w:rsid w:val="19CB4D61"/>
    <w:rsid w:val="19D05965"/>
    <w:rsid w:val="19ED7494"/>
    <w:rsid w:val="1A051862"/>
    <w:rsid w:val="1A8E25B8"/>
    <w:rsid w:val="1AB723E0"/>
    <w:rsid w:val="1B2A271F"/>
    <w:rsid w:val="1B2A3ECC"/>
    <w:rsid w:val="1B3421CE"/>
    <w:rsid w:val="1B4A3FDA"/>
    <w:rsid w:val="1B524C98"/>
    <w:rsid w:val="1B535AE1"/>
    <w:rsid w:val="1BC03F17"/>
    <w:rsid w:val="1C0D4016"/>
    <w:rsid w:val="1C124C1B"/>
    <w:rsid w:val="1C285A2F"/>
    <w:rsid w:val="1C322F51"/>
    <w:rsid w:val="1C3E0ED3"/>
    <w:rsid w:val="1C4B6079"/>
    <w:rsid w:val="1C5E2F73"/>
    <w:rsid w:val="1C6D55A8"/>
    <w:rsid w:val="1CB03004"/>
    <w:rsid w:val="1CE44E95"/>
    <w:rsid w:val="1CF35DD0"/>
    <w:rsid w:val="1D1A01E5"/>
    <w:rsid w:val="1D6E0C0D"/>
    <w:rsid w:val="1D9D6796"/>
    <w:rsid w:val="1DBE0159"/>
    <w:rsid w:val="1E1778EF"/>
    <w:rsid w:val="1E322B75"/>
    <w:rsid w:val="1E9D55C9"/>
    <w:rsid w:val="1EEC5348"/>
    <w:rsid w:val="1EF768A5"/>
    <w:rsid w:val="1F053CF4"/>
    <w:rsid w:val="1F065EF2"/>
    <w:rsid w:val="1F46255F"/>
    <w:rsid w:val="1F4644F2"/>
    <w:rsid w:val="1F8A3F4D"/>
    <w:rsid w:val="2042430C"/>
    <w:rsid w:val="2087096D"/>
    <w:rsid w:val="2099279D"/>
    <w:rsid w:val="20EF4457"/>
    <w:rsid w:val="20F80A99"/>
    <w:rsid w:val="212A064C"/>
    <w:rsid w:val="21AE003E"/>
    <w:rsid w:val="21CD5401"/>
    <w:rsid w:val="221C15BB"/>
    <w:rsid w:val="222A579A"/>
    <w:rsid w:val="222B5DC2"/>
    <w:rsid w:val="223F7CBE"/>
    <w:rsid w:val="224C3750"/>
    <w:rsid w:val="226C6366"/>
    <w:rsid w:val="229409E4"/>
    <w:rsid w:val="22A763E9"/>
    <w:rsid w:val="22DF114F"/>
    <w:rsid w:val="22EA2355"/>
    <w:rsid w:val="22EC5858"/>
    <w:rsid w:val="22F1729D"/>
    <w:rsid w:val="22FE6DF7"/>
    <w:rsid w:val="23E4344C"/>
    <w:rsid w:val="240E1541"/>
    <w:rsid w:val="241A5C2B"/>
    <w:rsid w:val="242B2A19"/>
    <w:rsid w:val="24526424"/>
    <w:rsid w:val="24593831"/>
    <w:rsid w:val="24857B78"/>
    <w:rsid w:val="2491744F"/>
    <w:rsid w:val="24E53415"/>
    <w:rsid w:val="25156162"/>
    <w:rsid w:val="25630347"/>
    <w:rsid w:val="256A366E"/>
    <w:rsid w:val="257C6E0B"/>
    <w:rsid w:val="259F333A"/>
    <w:rsid w:val="25B811EE"/>
    <w:rsid w:val="25C50504"/>
    <w:rsid w:val="25FE1963"/>
    <w:rsid w:val="260D66FA"/>
    <w:rsid w:val="263F5D37"/>
    <w:rsid w:val="26671392"/>
    <w:rsid w:val="26E84428"/>
    <w:rsid w:val="26EB3B6A"/>
    <w:rsid w:val="26EC5D68"/>
    <w:rsid w:val="270701E8"/>
    <w:rsid w:val="27074394"/>
    <w:rsid w:val="272F4B61"/>
    <w:rsid w:val="27570C9B"/>
    <w:rsid w:val="277B0E93"/>
    <w:rsid w:val="2783230C"/>
    <w:rsid w:val="278504E5"/>
    <w:rsid w:val="27C673DE"/>
    <w:rsid w:val="280F4BC6"/>
    <w:rsid w:val="282525ED"/>
    <w:rsid w:val="284A5CA4"/>
    <w:rsid w:val="28B0474F"/>
    <w:rsid w:val="28F925C5"/>
    <w:rsid w:val="29431740"/>
    <w:rsid w:val="29785A6B"/>
    <w:rsid w:val="29921D00"/>
    <w:rsid w:val="29986C4B"/>
    <w:rsid w:val="2A45157C"/>
    <w:rsid w:val="2A7A0559"/>
    <w:rsid w:val="2A976B6E"/>
    <w:rsid w:val="2A9C2048"/>
    <w:rsid w:val="2AE17EE7"/>
    <w:rsid w:val="2AF22097"/>
    <w:rsid w:val="2B1419BB"/>
    <w:rsid w:val="2B4D5018"/>
    <w:rsid w:val="2B547244"/>
    <w:rsid w:val="2C1724E2"/>
    <w:rsid w:val="2C5A1CD2"/>
    <w:rsid w:val="2C6E0973"/>
    <w:rsid w:val="2CA674FD"/>
    <w:rsid w:val="2D07786C"/>
    <w:rsid w:val="2D1F3974"/>
    <w:rsid w:val="2D5043DE"/>
    <w:rsid w:val="2D5A1875"/>
    <w:rsid w:val="2D657953"/>
    <w:rsid w:val="2D6C2E14"/>
    <w:rsid w:val="2D6D0895"/>
    <w:rsid w:val="2D776C27"/>
    <w:rsid w:val="2DB52EF2"/>
    <w:rsid w:val="2DD77FBB"/>
    <w:rsid w:val="2E262A61"/>
    <w:rsid w:val="2E8325DC"/>
    <w:rsid w:val="2E874865"/>
    <w:rsid w:val="2E9A285D"/>
    <w:rsid w:val="2EB834B6"/>
    <w:rsid w:val="2EDE5274"/>
    <w:rsid w:val="2EE62680"/>
    <w:rsid w:val="2F02092C"/>
    <w:rsid w:val="2F242165"/>
    <w:rsid w:val="2F4D5528"/>
    <w:rsid w:val="2F537431"/>
    <w:rsid w:val="2F7F3606"/>
    <w:rsid w:val="2FA21E54"/>
    <w:rsid w:val="30355826"/>
    <w:rsid w:val="30472D22"/>
    <w:rsid w:val="30534DD6"/>
    <w:rsid w:val="30761B12"/>
    <w:rsid w:val="30923DF3"/>
    <w:rsid w:val="30CA159C"/>
    <w:rsid w:val="316771C6"/>
    <w:rsid w:val="316F64A7"/>
    <w:rsid w:val="317E6AC1"/>
    <w:rsid w:val="318B0355"/>
    <w:rsid w:val="31A93189"/>
    <w:rsid w:val="31AA6038"/>
    <w:rsid w:val="32414601"/>
    <w:rsid w:val="32422082"/>
    <w:rsid w:val="32491A0D"/>
    <w:rsid w:val="325F3BB1"/>
    <w:rsid w:val="328773F9"/>
    <w:rsid w:val="32E4188C"/>
    <w:rsid w:val="32F24425"/>
    <w:rsid w:val="330E4C4E"/>
    <w:rsid w:val="33396D97"/>
    <w:rsid w:val="335E48F8"/>
    <w:rsid w:val="33837CFD"/>
    <w:rsid w:val="33887EE3"/>
    <w:rsid w:val="33964F33"/>
    <w:rsid w:val="34162937"/>
    <w:rsid w:val="343D3D70"/>
    <w:rsid w:val="34677C61"/>
    <w:rsid w:val="34792FA7"/>
    <w:rsid w:val="34EA455F"/>
    <w:rsid w:val="35083B0F"/>
    <w:rsid w:val="355E7A5C"/>
    <w:rsid w:val="35A66E91"/>
    <w:rsid w:val="362E38F2"/>
    <w:rsid w:val="36AC41C0"/>
    <w:rsid w:val="36EE5F2E"/>
    <w:rsid w:val="370D24EC"/>
    <w:rsid w:val="374B1770"/>
    <w:rsid w:val="376037F2"/>
    <w:rsid w:val="37C7238E"/>
    <w:rsid w:val="37E2423D"/>
    <w:rsid w:val="37F50CDF"/>
    <w:rsid w:val="38196915"/>
    <w:rsid w:val="38321A3E"/>
    <w:rsid w:val="38681F18"/>
    <w:rsid w:val="387A62F0"/>
    <w:rsid w:val="38BF61AA"/>
    <w:rsid w:val="38C500B3"/>
    <w:rsid w:val="38EB24F1"/>
    <w:rsid w:val="38F308AE"/>
    <w:rsid w:val="39153335"/>
    <w:rsid w:val="392B54D9"/>
    <w:rsid w:val="393410E9"/>
    <w:rsid w:val="393C5773"/>
    <w:rsid w:val="393D69E7"/>
    <w:rsid w:val="396E7247"/>
    <w:rsid w:val="39991390"/>
    <w:rsid w:val="39C57C56"/>
    <w:rsid w:val="39E223B3"/>
    <w:rsid w:val="3A094EC7"/>
    <w:rsid w:val="3A160959"/>
    <w:rsid w:val="3AC556D4"/>
    <w:rsid w:val="3AF328C6"/>
    <w:rsid w:val="3B121AD1"/>
    <w:rsid w:val="3B190CE9"/>
    <w:rsid w:val="3B266598"/>
    <w:rsid w:val="3B2E39A5"/>
    <w:rsid w:val="3BF014E4"/>
    <w:rsid w:val="3C017592"/>
    <w:rsid w:val="3C0D61D4"/>
    <w:rsid w:val="3C6E59E3"/>
    <w:rsid w:val="3C8A2E05"/>
    <w:rsid w:val="3CBB7CB3"/>
    <w:rsid w:val="3CF3383D"/>
    <w:rsid w:val="3CFB2C9B"/>
    <w:rsid w:val="3CFD0D2E"/>
    <w:rsid w:val="3D06102C"/>
    <w:rsid w:val="3D2405DC"/>
    <w:rsid w:val="3D301E70"/>
    <w:rsid w:val="3D332381"/>
    <w:rsid w:val="3DBA6B09"/>
    <w:rsid w:val="3DD06ACE"/>
    <w:rsid w:val="3DE36C1C"/>
    <w:rsid w:val="3E0B4D5C"/>
    <w:rsid w:val="3E0B5DF8"/>
    <w:rsid w:val="3E981D57"/>
    <w:rsid w:val="3EA55255"/>
    <w:rsid w:val="3EDFE816"/>
    <w:rsid w:val="3EE63B0E"/>
    <w:rsid w:val="3EFA2761"/>
    <w:rsid w:val="3F553D74"/>
    <w:rsid w:val="3F843BE4"/>
    <w:rsid w:val="3FCA3D33"/>
    <w:rsid w:val="3FD34C34"/>
    <w:rsid w:val="40516596"/>
    <w:rsid w:val="40770EEF"/>
    <w:rsid w:val="40BD7E43"/>
    <w:rsid w:val="40FA572A"/>
    <w:rsid w:val="4125656E"/>
    <w:rsid w:val="41603979"/>
    <w:rsid w:val="41CF436B"/>
    <w:rsid w:val="42025F5C"/>
    <w:rsid w:val="420E64EB"/>
    <w:rsid w:val="421617F2"/>
    <w:rsid w:val="4221770A"/>
    <w:rsid w:val="423676B0"/>
    <w:rsid w:val="42714011"/>
    <w:rsid w:val="427D21C4"/>
    <w:rsid w:val="42A376B6"/>
    <w:rsid w:val="42B7311E"/>
    <w:rsid w:val="42C11812"/>
    <w:rsid w:val="435E2995"/>
    <w:rsid w:val="43740F4F"/>
    <w:rsid w:val="439E377F"/>
    <w:rsid w:val="43BA1A2A"/>
    <w:rsid w:val="43E541AC"/>
    <w:rsid w:val="441A22D4"/>
    <w:rsid w:val="443B2E6C"/>
    <w:rsid w:val="44464E91"/>
    <w:rsid w:val="448D7804"/>
    <w:rsid w:val="44D35A92"/>
    <w:rsid w:val="44D47F78"/>
    <w:rsid w:val="456142C9"/>
    <w:rsid w:val="45AF69E2"/>
    <w:rsid w:val="45DF3078"/>
    <w:rsid w:val="45F10750"/>
    <w:rsid w:val="46190610"/>
    <w:rsid w:val="4619368A"/>
    <w:rsid w:val="464B6860"/>
    <w:rsid w:val="46A31A5A"/>
    <w:rsid w:val="46E00140"/>
    <w:rsid w:val="472216D4"/>
    <w:rsid w:val="47493EFF"/>
    <w:rsid w:val="4757351A"/>
    <w:rsid w:val="477F33DA"/>
    <w:rsid w:val="47800E5B"/>
    <w:rsid w:val="47835663"/>
    <w:rsid w:val="47C45408"/>
    <w:rsid w:val="47C84AD3"/>
    <w:rsid w:val="47C92554"/>
    <w:rsid w:val="48854E86"/>
    <w:rsid w:val="48B25D55"/>
    <w:rsid w:val="48C97EF9"/>
    <w:rsid w:val="48F30D3D"/>
    <w:rsid w:val="48F46570"/>
    <w:rsid w:val="49612F2E"/>
    <w:rsid w:val="49C04C0E"/>
    <w:rsid w:val="4A2673C1"/>
    <w:rsid w:val="4B1F439A"/>
    <w:rsid w:val="4B640FE1"/>
    <w:rsid w:val="4B7C2965"/>
    <w:rsid w:val="4BAD69B7"/>
    <w:rsid w:val="4BCA740A"/>
    <w:rsid w:val="4BD56877"/>
    <w:rsid w:val="4BE41090"/>
    <w:rsid w:val="4C020640"/>
    <w:rsid w:val="4C2B3A02"/>
    <w:rsid w:val="4C711F79"/>
    <w:rsid w:val="4CA06527"/>
    <w:rsid w:val="4CB12D62"/>
    <w:rsid w:val="4CB949F1"/>
    <w:rsid w:val="4CE31080"/>
    <w:rsid w:val="4D416DCE"/>
    <w:rsid w:val="4D6E0FDF"/>
    <w:rsid w:val="4D6F6618"/>
    <w:rsid w:val="4DEF36BF"/>
    <w:rsid w:val="4E5D2A1D"/>
    <w:rsid w:val="4E6A1D33"/>
    <w:rsid w:val="4E7C7A4F"/>
    <w:rsid w:val="4E8D44E6"/>
    <w:rsid w:val="4EA25710"/>
    <w:rsid w:val="4EE016AD"/>
    <w:rsid w:val="4EE4307A"/>
    <w:rsid w:val="4EF62169"/>
    <w:rsid w:val="4F205FDF"/>
    <w:rsid w:val="4F57D38B"/>
    <w:rsid w:val="4F863785"/>
    <w:rsid w:val="4F94099A"/>
    <w:rsid w:val="4FDB582E"/>
    <w:rsid w:val="4FF31BBA"/>
    <w:rsid w:val="50095F5C"/>
    <w:rsid w:val="50501B13"/>
    <w:rsid w:val="508C0050"/>
    <w:rsid w:val="509B32CD"/>
    <w:rsid w:val="51203526"/>
    <w:rsid w:val="513B74B5"/>
    <w:rsid w:val="5153143F"/>
    <w:rsid w:val="515B0AB6"/>
    <w:rsid w:val="51922560"/>
    <w:rsid w:val="520B69A6"/>
    <w:rsid w:val="52417DF7"/>
    <w:rsid w:val="5245110A"/>
    <w:rsid w:val="525C54AC"/>
    <w:rsid w:val="5266383D"/>
    <w:rsid w:val="52892084"/>
    <w:rsid w:val="529F4C9C"/>
    <w:rsid w:val="52AD1800"/>
    <w:rsid w:val="53337682"/>
    <w:rsid w:val="53CE3F8A"/>
    <w:rsid w:val="53E378B1"/>
    <w:rsid w:val="53E83D39"/>
    <w:rsid w:val="54364B57"/>
    <w:rsid w:val="544831E7"/>
    <w:rsid w:val="54653303"/>
    <w:rsid w:val="547D2F9E"/>
    <w:rsid w:val="548B34D6"/>
    <w:rsid w:val="54A8330E"/>
    <w:rsid w:val="54DE0898"/>
    <w:rsid w:val="54F12DEE"/>
    <w:rsid w:val="55147C14"/>
    <w:rsid w:val="55C273D3"/>
    <w:rsid w:val="55DA66E7"/>
    <w:rsid w:val="567A4F6C"/>
    <w:rsid w:val="568C3F8D"/>
    <w:rsid w:val="56BD255D"/>
    <w:rsid w:val="56BD475C"/>
    <w:rsid w:val="56E07B6A"/>
    <w:rsid w:val="56EA6524"/>
    <w:rsid w:val="56F426B7"/>
    <w:rsid w:val="56F7735E"/>
    <w:rsid w:val="57327357"/>
    <w:rsid w:val="5734334C"/>
    <w:rsid w:val="573531D6"/>
    <w:rsid w:val="574C3CF4"/>
    <w:rsid w:val="574D15AB"/>
    <w:rsid w:val="58007B0E"/>
    <w:rsid w:val="580D6782"/>
    <w:rsid w:val="584D616C"/>
    <w:rsid w:val="586851B4"/>
    <w:rsid w:val="58887A95"/>
    <w:rsid w:val="58A61E60"/>
    <w:rsid w:val="58BE578F"/>
    <w:rsid w:val="58EB42FC"/>
    <w:rsid w:val="59A776A2"/>
    <w:rsid w:val="59BE2B4A"/>
    <w:rsid w:val="59EB2715"/>
    <w:rsid w:val="59FE77E4"/>
    <w:rsid w:val="5A031FBA"/>
    <w:rsid w:val="5A401E1F"/>
    <w:rsid w:val="5A4452D7"/>
    <w:rsid w:val="5A6048D2"/>
    <w:rsid w:val="5A804E07"/>
    <w:rsid w:val="5AA340C2"/>
    <w:rsid w:val="5B3620DE"/>
    <w:rsid w:val="5B561028"/>
    <w:rsid w:val="5B6E7DE5"/>
    <w:rsid w:val="5B74479A"/>
    <w:rsid w:val="5B8D564A"/>
    <w:rsid w:val="5B991157"/>
    <w:rsid w:val="5B9B690D"/>
    <w:rsid w:val="5BCE032C"/>
    <w:rsid w:val="5C2A2C44"/>
    <w:rsid w:val="5C335AD2"/>
    <w:rsid w:val="5C9F2C03"/>
    <w:rsid w:val="5CDC2A68"/>
    <w:rsid w:val="5D163B46"/>
    <w:rsid w:val="5DB66E34"/>
    <w:rsid w:val="5DC913EB"/>
    <w:rsid w:val="5E074753"/>
    <w:rsid w:val="5E3F0130"/>
    <w:rsid w:val="5E401DF3"/>
    <w:rsid w:val="5E5E1C24"/>
    <w:rsid w:val="5E865022"/>
    <w:rsid w:val="5ECE5416"/>
    <w:rsid w:val="5ED660A5"/>
    <w:rsid w:val="5EF046D1"/>
    <w:rsid w:val="5F2CAA12"/>
    <w:rsid w:val="5F463DDB"/>
    <w:rsid w:val="5FA266F3"/>
    <w:rsid w:val="5FAB1581"/>
    <w:rsid w:val="605E5332"/>
    <w:rsid w:val="609E0F14"/>
    <w:rsid w:val="60A972A5"/>
    <w:rsid w:val="60CA77DA"/>
    <w:rsid w:val="61463937"/>
    <w:rsid w:val="616D02E8"/>
    <w:rsid w:val="6173586E"/>
    <w:rsid w:val="61883090"/>
    <w:rsid w:val="6189081C"/>
    <w:rsid w:val="619D77B2"/>
    <w:rsid w:val="61E13FB0"/>
    <w:rsid w:val="62600B75"/>
    <w:rsid w:val="62803628"/>
    <w:rsid w:val="63014E7B"/>
    <w:rsid w:val="6314609A"/>
    <w:rsid w:val="635F5C54"/>
    <w:rsid w:val="636C0191"/>
    <w:rsid w:val="63702F31"/>
    <w:rsid w:val="63817312"/>
    <w:rsid w:val="63896059"/>
    <w:rsid w:val="638C7847"/>
    <w:rsid w:val="643429A4"/>
    <w:rsid w:val="64647B54"/>
    <w:rsid w:val="64C869E5"/>
    <w:rsid w:val="64FB01C2"/>
    <w:rsid w:val="64FB04B9"/>
    <w:rsid w:val="65074FBA"/>
    <w:rsid w:val="650755D0"/>
    <w:rsid w:val="653D2227"/>
    <w:rsid w:val="653D5C61"/>
    <w:rsid w:val="65A0701B"/>
    <w:rsid w:val="65B06CE3"/>
    <w:rsid w:val="65C60E87"/>
    <w:rsid w:val="65E12D35"/>
    <w:rsid w:val="65E826C0"/>
    <w:rsid w:val="66377D5A"/>
    <w:rsid w:val="66823FAD"/>
    <w:rsid w:val="67673E36"/>
    <w:rsid w:val="67D31D3B"/>
    <w:rsid w:val="680A7DBC"/>
    <w:rsid w:val="680B57BC"/>
    <w:rsid w:val="687419EA"/>
    <w:rsid w:val="68997A2B"/>
    <w:rsid w:val="690C1F68"/>
    <w:rsid w:val="694232F2"/>
    <w:rsid w:val="69DA0037"/>
    <w:rsid w:val="6A441057"/>
    <w:rsid w:val="6A953FED"/>
    <w:rsid w:val="6AA370E8"/>
    <w:rsid w:val="6AC22533"/>
    <w:rsid w:val="6AFC445B"/>
    <w:rsid w:val="6B00369D"/>
    <w:rsid w:val="6B6C732C"/>
    <w:rsid w:val="6B9D2277"/>
    <w:rsid w:val="6B9E4244"/>
    <w:rsid w:val="6B9F4FC7"/>
    <w:rsid w:val="6BA63E2B"/>
    <w:rsid w:val="6C6F7988"/>
    <w:rsid w:val="6CAD6BDB"/>
    <w:rsid w:val="6D0548D4"/>
    <w:rsid w:val="6D7C1B9A"/>
    <w:rsid w:val="6D8A2D46"/>
    <w:rsid w:val="6DBC70FF"/>
    <w:rsid w:val="6DD67943"/>
    <w:rsid w:val="6DDF9337"/>
    <w:rsid w:val="6E2975F0"/>
    <w:rsid w:val="6E4D799F"/>
    <w:rsid w:val="6E911630"/>
    <w:rsid w:val="6EED710A"/>
    <w:rsid w:val="6EF22CF8"/>
    <w:rsid w:val="6F001D3F"/>
    <w:rsid w:val="6F077CB4"/>
    <w:rsid w:val="6F7FC111"/>
    <w:rsid w:val="6F8B5D0F"/>
    <w:rsid w:val="6F964BDB"/>
    <w:rsid w:val="6FD02096"/>
    <w:rsid w:val="70280A8B"/>
    <w:rsid w:val="70342CA5"/>
    <w:rsid w:val="709A5ECC"/>
    <w:rsid w:val="70A324E5"/>
    <w:rsid w:val="70B7011A"/>
    <w:rsid w:val="70E3342F"/>
    <w:rsid w:val="70E36156"/>
    <w:rsid w:val="71056477"/>
    <w:rsid w:val="71086DB5"/>
    <w:rsid w:val="715B0581"/>
    <w:rsid w:val="71A12E7C"/>
    <w:rsid w:val="71D36ECE"/>
    <w:rsid w:val="71EE3F30"/>
    <w:rsid w:val="71FE1F10"/>
    <w:rsid w:val="72002E95"/>
    <w:rsid w:val="72124C10"/>
    <w:rsid w:val="722E04E1"/>
    <w:rsid w:val="727453D2"/>
    <w:rsid w:val="72A72729"/>
    <w:rsid w:val="72EF555D"/>
    <w:rsid w:val="73121DD9"/>
    <w:rsid w:val="73690269"/>
    <w:rsid w:val="7386044D"/>
    <w:rsid w:val="739D6139"/>
    <w:rsid w:val="73B64AE5"/>
    <w:rsid w:val="7414042A"/>
    <w:rsid w:val="748B5DC2"/>
    <w:rsid w:val="749E2864"/>
    <w:rsid w:val="754F4216"/>
    <w:rsid w:val="7559561B"/>
    <w:rsid w:val="759926FC"/>
    <w:rsid w:val="759B5BFF"/>
    <w:rsid w:val="75C31473"/>
    <w:rsid w:val="75D02BD6"/>
    <w:rsid w:val="75DB69E8"/>
    <w:rsid w:val="763B2EA0"/>
    <w:rsid w:val="76675743"/>
    <w:rsid w:val="76882384"/>
    <w:rsid w:val="76C07F60"/>
    <w:rsid w:val="773E6630"/>
    <w:rsid w:val="774E68CA"/>
    <w:rsid w:val="77A06462"/>
    <w:rsid w:val="77D45A86"/>
    <w:rsid w:val="77E26E55"/>
    <w:rsid w:val="78066176"/>
    <w:rsid w:val="782563DD"/>
    <w:rsid w:val="7831798E"/>
    <w:rsid w:val="783267C7"/>
    <w:rsid w:val="784721F4"/>
    <w:rsid w:val="786E47A3"/>
    <w:rsid w:val="78C728B3"/>
    <w:rsid w:val="78CF7CC0"/>
    <w:rsid w:val="792606CF"/>
    <w:rsid w:val="79827975"/>
    <w:rsid w:val="798677EE"/>
    <w:rsid w:val="79AC33DA"/>
    <w:rsid w:val="79B86A0B"/>
    <w:rsid w:val="7A034839"/>
    <w:rsid w:val="7A5F6238"/>
    <w:rsid w:val="7A6C143E"/>
    <w:rsid w:val="7A8A3819"/>
    <w:rsid w:val="7A983721"/>
    <w:rsid w:val="7AC05B35"/>
    <w:rsid w:val="7AE64E2A"/>
    <w:rsid w:val="7B35042F"/>
    <w:rsid w:val="7B4263C0"/>
    <w:rsid w:val="7B6C638A"/>
    <w:rsid w:val="7B7DBB47"/>
    <w:rsid w:val="7B7F8E1B"/>
    <w:rsid w:val="7B87543C"/>
    <w:rsid w:val="7B8A4CFC"/>
    <w:rsid w:val="7B9C10D8"/>
    <w:rsid w:val="7C3E5E46"/>
    <w:rsid w:val="7C4B59F8"/>
    <w:rsid w:val="7CAE3CED"/>
    <w:rsid w:val="7DBB18DC"/>
    <w:rsid w:val="7DF625AE"/>
    <w:rsid w:val="7E595ACF"/>
    <w:rsid w:val="7E602EE5"/>
    <w:rsid w:val="7E7E2495"/>
    <w:rsid w:val="7E8E272F"/>
    <w:rsid w:val="7EE759C2"/>
    <w:rsid w:val="7F115287"/>
    <w:rsid w:val="7F64728F"/>
    <w:rsid w:val="7F8041D3"/>
    <w:rsid w:val="7F843F41"/>
    <w:rsid w:val="7FA03871"/>
    <w:rsid w:val="7FA13B7A"/>
    <w:rsid w:val="7FAE32D8"/>
    <w:rsid w:val="B7CF4B79"/>
    <w:rsid w:val="EFDFFAB6"/>
    <w:rsid w:val="F6E7163A"/>
    <w:rsid w:val="F98A53F7"/>
    <w:rsid w:val="FABFD5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f" stroke="f">
      <v:fill on="f" focussize="0,0"/>
      <v:stroke on="f"/>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黑体"/>
      <w:kern w:val="2"/>
      <w:sz w:val="21"/>
      <w:szCs w:val="24"/>
      <w:lang w:val="en-US" w:eastAsia="zh-CN" w:bidi="ar-SA"/>
    </w:rPr>
  </w:style>
  <w:style w:type="character" w:default="1" w:styleId="13">
    <w:name w:val="Default Paragraph Font"/>
    <w:unhideWhenUsed/>
    <w:qFormat/>
    <w:uiPriority w:val="1"/>
  </w:style>
  <w:style w:type="table" w:default="1" w:styleId="11">
    <w:name w:val="Normal Table"/>
    <w:unhideWhenUsed/>
    <w:qFormat/>
    <w:uiPriority w:val="99"/>
    <w:tblPr>
      <w:tblStyle w:val="11"/>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w:basedOn w:val="1"/>
    <w:next w:val="4"/>
    <w:qFormat/>
    <w:uiPriority w:val="99"/>
    <w:rPr>
      <w:rFonts w:ascii="仿宋_GB2312" w:hAnsi="仿宋_GB2312" w:eastAsia="仿宋_GB2312" w:cs="仿宋_GB2312"/>
      <w:sz w:val="32"/>
      <w:szCs w:val="32"/>
      <w:lang w:val="zh-CN"/>
    </w:rPr>
  </w:style>
  <w:style w:type="paragraph" w:customStyle="1" w:styleId="4">
    <w:name w:val="索引 81"/>
    <w:basedOn w:val="1"/>
    <w:next w:val="1"/>
    <w:qFormat/>
    <w:uiPriority w:val="0"/>
    <w:pPr>
      <w:ind w:left="1400" w:leftChars="1400"/>
    </w:pPr>
  </w:style>
  <w:style w:type="paragraph" w:styleId="5">
    <w:name w:val="Balloon Text"/>
    <w:basedOn w:val="1"/>
    <w:link w:val="16"/>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2"/>
    <w:next w:val="2"/>
    <w:link w:val="17"/>
    <w:qFormat/>
    <w:uiPriority w:val="0"/>
    <w:rPr>
      <w:b/>
      <w:bCs/>
    </w:rPr>
  </w:style>
  <w:style w:type="table" w:styleId="12">
    <w:name w:val="Table Grid"/>
    <w:basedOn w:val="11"/>
    <w:qFormat/>
    <w:uiPriority w:val="0"/>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character" w:customStyle="1" w:styleId="15">
    <w:name w:val="批注文字 Char"/>
    <w:basedOn w:val="13"/>
    <w:link w:val="2"/>
    <w:qFormat/>
    <w:uiPriority w:val="0"/>
    <w:rPr>
      <w:rFonts w:ascii="Calibri" w:hAnsi="Calibri" w:cs="黑体"/>
      <w:kern w:val="2"/>
      <w:sz w:val="21"/>
      <w:szCs w:val="24"/>
    </w:rPr>
  </w:style>
  <w:style w:type="character" w:customStyle="1" w:styleId="16">
    <w:name w:val="批注框文本 Char"/>
    <w:basedOn w:val="13"/>
    <w:link w:val="5"/>
    <w:qFormat/>
    <w:uiPriority w:val="0"/>
    <w:rPr>
      <w:rFonts w:ascii="Calibri" w:hAnsi="Calibri" w:cs="黑体"/>
      <w:kern w:val="2"/>
      <w:sz w:val="18"/>
      <w:szCs w:val="18"/>
    </w:rPr>
  </w:style>
  <w:style w:type="character" w:customStyle="1" w:styleId="17">
    <w:name w:val="批注主题 Char"/>
    <w:basedOn w:val="15"/>
    <w:link w:val="10"/>
    <w:qFormat/>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9.emf"/><Relationship Id="rId26" Type="http://schemas.openxmlformats.org/officeDocument/2006/relationships/oleObject" Target="embeddings/oleObject6.bin"/><Relationship Id="rId25" Type="http://schemas.openxmlformats.org/officeDocument/2006/relationships/image" Target="media/image8.emf"/><Relationship Id="rId24" Type="http://schemas.openxmlformats.org/officeDocument/2006/relationships/oleObject" Target="embeddings/oleObject5.bin"/><Relationship Id="rId23" Type="http://schemas.openxmlformats.org/officeDocument/2006/relationships/image" Target="media/image7.emf"/><Relationship Id="rId22" Type="http://schemas.openxmlformats.org/officeDocument/2006/relationships/oleObject" Target="embeddings/oleObject4.bin"/><Relationship Id="rId21" Type="http://schemas.openxmlformats.org/officeDocument/2006/relationships/image" Target="media/image6.png"/><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oleObject" Target="embeddings/oleObject2.bin"/><Relationship Id="rId15" Type="http://schemas.openxmlformats.org/officeDocument/2006/relationships/image" Target="media/image2.png"/><Relationship Id="rId14" Type="http://schemas.openxmlformats.org/officeDocument/2006/relationships/oleObject" Target="embeddings/oleObject1.bin"/><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E:\&#20010;&#20154;&#36164;&#26009;\&#20854;&#20182;\&#20195;&#24314;&#20013;&#24515;\2023&#24180;&#37096;&#38376;&#20915;&#31639;&#20844;&#24320;&#22270;&#34920;&#27169;&#2649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010;&#20154;&#36164;&#26009;\&#20854;&#20182;\&#20195;&#24314;&#20013;&#24515;\2023&#24180;&#37096;&#38376;&#20915;&#31639;&#20844;&#24320;&#22270;&#34920;&#27169;&#2649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010;&#20154;&#36164;&#26009;\&#20854;&#20182;\&#20195;&#24314;&#20013;&#24515;\2023&#24180;&#37096;&#38376;&#20915;&#31639;&#20844;&#24320;&#22270;&#34920;&#27169;&#2649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010;&#20154;&#36164;&#26009;\&#20854;&#20182;\&#20195;&#24314;&#20013;&#24515;\2023&#24180;&#37096;&#38376;&#20915;&#31639;&#20844;&#24320;&#22270;&#34920;&#27169;&#2649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010;&#20154;&#36164;&#26009;\&#20854;&#20182;\&#20195;&#24314;&#20013;&#24515;\2023&#24180;&#37096;&#38376;&#20915;&#31639;&#20844;&#24320;&#22270;&#34920;&#27169;&#2649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010;&#20154;&#36164;&#26009;\&#20854;&#20182;\&#20195;&#24314;&#20013;&#24515;\2023&#24180;&#37096;&#38376;&#20915;&#31639;&#20844;&#24320;&#22270;&#34920;&#27169;&#2649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010;&#20154;&#36164;&#26009;\&#20854;&#20182;\&#20195;&#24314;&#20013;&#24515;\2023&#24180;&#37096;&#38376;&#20915;&#31639;&#20844;&#24320;&#22270;&#34920;&#27169;&#2649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400" b="1" i="0" u="none" strike="noStrike" baseline="0">
                <a:solidFill>
                  <a:srgbClr val="000000"/>
                </a:solidFill>
                <a:latin typeface="仿宋_GB2312" panose="02010609030101010101" pitchFamily="3" charset="-122"/>
                <a:ea typeface="仿宋_GB2312" panose="02010609030101010101" pitchFamily="3" charset="-122"/>
                <a:cs typeface="仿宋_GB2312" panose="02010609030101010101" pitchFamily="3" charset="-122"/>
              </a:rPr>
              <a:t>人员结构图</a:t>
            </a:r>
            <a:endPar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endParaRPr>
          </a:p>
          <a:p>
            <a:pPr defTabSz="914400">
              <a:defRPr lang="zh-CN" sz="1400" b="0" i="0" u="none" strike="noStrike" kern="1200" spc="0" baseline="0">
                <a:solidFill>
                  <a:srgbClr val="595959">
                    <a:lumMod val="65000"/>
                    <a:lumOff val="35000"/>
                  </a:srgbClr>
                </a:solidFill>
                <a:latin typeface="+mn-lt"/>
                <a:ea typeface="+mn-ea"/>
                <a:cs typeface="+mn-cs"/>
              </a:defRPr>
            </a:pPr>
            <a:r>
              <a:rPr lang="en-US" altLang="zh-CN"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a:t>
            </a:r>
            <a:r>
              <a:rPr altLang="en-US" sz="1000" b="0"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单位：人</a:t>
            </a:r>
            <a:r>
              <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a:t>
            </a:r>
            <a:r>
              <a:rPr lang="en-US" altLang="zh-CN"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a:t>
            </a:r>
            <a:endParaRPr lang="en-US" altLang="zh-CN"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22427551448971"/>
          <c:y val="0.0429988974641676"/>
        </c:manualLayout>
      </c:layout>
      <c:overlay val="0"/>
      <c:spPr>
        <a:noFill/>
        <a:ln>
          <a:noFill/>
        </a:ln>
        <a:effectLst/>
      </c:spPr>
    </c:title>
    <c:autoTitleDeleted val="0"/>
    <c:plotArea>
      <c:layout/>
      <c:barChart>
        <c:barDir val="col"/>
        <c:grouping val="clustered"/>
        <c:varyColors val="0"/>
        <c:ser>
          <c:idx val="0"/>
          <c:order val="0"/>
          <c:tx>
            <c:strRef>
              <c:f>[2023年部门决算公开图表模板.xls]Sheet1!$C$6</c:f>
              <c:strCache>
                <c:ptCount val="1"/>
                <c:pt idx="0">
                  <c:v>编制人数</c:v>
                </c:pt>
              </c:strCache>
            </c:strRef>
          </c:tx>
          <c:spPr>
            <a:solidFill>
              <a:srgbClr val="4F81B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[2023年部门决算公开图表模板.xls]Sheet1!$B$7:$B$9</c:f>
              <c:strCache>
                <c:ptCount val="3"/>
                <c:pt idx="0">
                  <c:v>行政人员</c:v>
                </c:pt>
                <c:pt idx="1">
                  <c:v>事业人员</c:v>
                </c:pt>
                <c:pt idx="2">
                  <c:v>离退休人员</c:v>
                </c:pt>
              </c:strCache>
            </c:strRef>
          </c:cat>
          <c:val>
            <c:numRef>
              <c:f>[2023年部门决算公开图表模板.xls]Sheet1!$C$7:$C$9</c:f>
              <c:numCache>
                <c:formatCode>General</c:formatCode>
                <c:ptCount val="3"/>
                <c:pt idx="1">
                  <c:v>15</c:v>
                </c:pt>
              </c:numCache>
            </c:numRef>
          </c:val>
        </c:ser>
        <c:ser>
          <c:idx val="1"/>
          <c:order val="1"/>
          <c:tx>
            <c:strRef>
              <c:f>[2023年部门决算公开图表模板.xls]Sheet1!$D$6</c:f>
              <c:strCache>
                <c:ptCount val="1"/>
                <c:pt idx="0">
                  <c:v>实有人数</c:v>
                </c:pt>
              </c:strCache>
            </c:strRef>
          </c:tx>
          <c:spPr>
            <a:solidFill>
              <a:srgbClr val="C0504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[2023年部门决算公开图表模板.xls]Sheet1!$B$7:$B$9</c:f>
              <c:strCache>
                <c:ptCount val="3"/>
                <c:pt idx="0">
                  <c:v>行政人员</c:v>
                </c:pt>
                <c:pt idx="1">
                  <c:v>事业人员</c:v>
                </c:pt>
                <c:pt idx="2">
                  <c:v>离退休人员</c:v>
                </c:pt>
              </c:strCache>
            </c:strRef>
          </c:cat>
          <c:val>
            <c:numRef>
              <c:f>[2023年部门决算公开图表模板.xls]Sheet1!$D$7:$D$9</c:f>
              <c:numCache>
                <c:formatCode>General</c:formatCode>
                <c:ptCount val="3"/>
                <c:pt idx="1">
                  <c:v>12</c:v>
                </c:pt>
                <c:pt idx="2">
                  <c:v>2</c:v>
                </c:pt>
              </c:numCache>
            </c:numRef>
          </c:val>
        </c:ser>
        <c:dLbls>
          <c:showLegendKey val="0"/>
          <c:showVal val="0"/>
          <c:showCatName val="0"/>
          <c:showSerName val="0"/>
          <c:showPercent val="0"/>
          <c:showBubbleSize val="0"/>
        </c:dLbls>
        <c:gapWidth val="219"/>
        <c:overlap val="-27"/>
        <c:axId val="415688892"/>
        <c:axId val="252228115"/>
      </c:barChart>
      <c:catAx>
        <c:axId val="415688892"/>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52228115"/>
        <c:crosses val="autoZero"/>
        <c:auto val="1"/>
        <c:lblAlgn val="ctr"/>
        <c:lblOffset val="100"/>
        <c:noMultiLvlLbl val="0"/>
      </c:catAx>
      <c:valAx>
        <c:axId val="252228115"/>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156888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5d87840e-ab6b-4782-8119-79de471cecd8}"/>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收入支出决算总体情况对比图</a:t>
            </a:r>
            <a:endPar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endParaRPr>
          </a:p>
          <a:p>
            <a:pPr defTabSz="914400">
              <a:defRPr lang="zh-CN" sz="1400" b="0" i="0" u="none" strike="noStrike" kern="1200" spc="0" baseline="0">
                <a:solidFill>
                  <a:srgbClr val="595959">
                    <a:lumMod val="65000"/>
                    <a:lumOff val="35000"/>
                  </a:srgbClr>
                </a:solidFill>
                <a:latin typeface="+mn-lt"/>
                <a:ea typeface="+mn-ea"/>
                <a:cs typeface="+mn-cs"/>
              </a:defRPr>
            </a:pPr>
            <a:r>
              <a:rPr sz="1000" b="0"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单位：万元</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0796586059744"/>
          <c:y val="0.0231532524807056"/>
        </c:manualLayout>
      </c:layout>
      <c:overlay val="0"/>
      <c:spPr>
        <a:noFill/>
        <a:ln>
          <a:noFill/>
        </a:ln>
        <a:effectLst/>
      </c:spPr>
    </c:title>
    <c:autoTitleDeleted val="0"/>
    <c:plotArea>
      <c:layout/>
      <c:barChart>
        <c:barDir val="col"/>
        <c:grouping val="clustered"/>
        <c:varyColors val="0"/>
        <c:ser>
          <c:idx val="0"/>
          <c:order val="0"/>
          <c:tx>
            <c:strRef>
              <c:f>[2023年部门决算公开图表模板.xls]Sheet1!$B$25</c:f>
              <c:strCache>
                <c:ptCount val="1"/>
                <c:pt idx="0">
                  <c:v>2023年</c:v>
                </c:pt>
              </c:strCache>
            </c:strRef>
          </c:tx>
          <c:spPr>
            <a:solidFill>
              <a:srgbClr val="4F81B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[2023年部门决算公开图表模板.xls]Sheet1!$C$24:$D$24</c:f>
              <c:strCache>
                <c:ptCount val="2"/>
                <c:pt idx="0">
                  <c:v>收入</c:v>
                </c:pt>
                <c:pt idx="1">
                  <c:v>支出</c:v>
                </c:pt>
              </c:strCache>
            </c:strRef>
          </c:cat>
          <c:val>
            <c:numRef>
              <c:f>[2023年部门决算公开图表模板.xls]Sheet1!$C$25:$D$25</c:f>
              <c:numCache>
                <c:formatCode>General</c:formatCode>
                <c:ptCount val="2"/>
                <c:pt idx="0">
                  <c:v>269.36</c:v>
                </c:pt>
                <c:pt idx="1">
                  <c:v>215.36</c:v>
                </c:pt>
              </c:numCache>
            </c:numRef>
          </c:val>
        </c:ser>
        <c:ser>
          <c:idx val="1"/>
          <c:order val="1"/>
          <c:tx>
            <c:strRef>
              <c:f>[2023年部门决算公开图表模板.xls]Sheet1!$B$26</c:f>
              <c:strCache>
                <c:ptCount val="1"/>
                <c:pt idx="0">
                  <c:v>2024年</c:v>
                </c:pt>
              </c:strCache>
            </c:strRef>
          </c:tx>
          <c:spPr>
            <a:solidFill>
              <a:srgbClr val="C0504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[2023年部门决算公开图表模板.xls]Sheet1!$C$24:$D$24</c:f>
              <c:strCache>
                <c:ptCount val="2"/>
                <c:pt idx="0">
                  <c:v>收入</c:v>
                </c:pt>
                <c:pt idx="1">
                  <c:v>支出</c:v>
                </c:pt>
              </c:strCache>
            </c:strRef>
          </c:cat>
          <c:val>
            <c:numRef>
              <c:f>[2023年部门决算公开图表模板.xls]Sheet1!$C$26:$D$26</c:f>
              <c:numCache>
                <c:formatCode>General</c:formatCode>
                <c:ptCount val="2"/>
                <c:pt idx="0">
                  <c:v>376.81</c:v>
                </c:pt>
                <c:pt idx="1">
                  <c:v>376.81</c:v>
                </c:pt>
              </c:numCache>
            </c:numRef>
          </c:val>
        </c:ser>
        <c:dLbls>
          <c:showLegendKey val="0"/>
          <c:showVal val="0"/>
          <c:showCatName val="0"/>
          <c:showSerName val="0"/>
          <c:showPercent val="0"/>
          <c:showBubbleSize val="0"/>
        </c:dLbls>
        <c:gapWidth val="219"/>
        <c:overlap val="-27"/>
        <c:axId val="343904169"/>
        <c:axId val="642666227"/>
      </c:barChart>
      <c:catAx>
        <c:axId val="343904169"/>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42666227"/>
        <c:crosses val="autoZero"/>
        <c:auto val="1"/>
        <c:lblAlgn val="ctr"/>
        <c:lblOffset val="100"/>
        <c:noMultiLvlLbl val="0"/>
      </c:catAx>
      <c:valAx>
        <c:axId val="642666227"/>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4390416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f71286ff-a14e-4c52-b31e-d41b2dcdf613}"/>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收入决算情况结构图</a:t>
            </a:r>
            <a:endPar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endParaRPr>
          </a:p>
          <a:p>
            <a:pPr defTabSz="914400">
              <a:defRPr lang="zh-CN" sz="1400" b="0" i="0" u="none" strike="noStrike" kern="1200" spc="0" baseline="0">
                <a:solidFill>
                  <a:srgbClr val="595959">
                    <a:lumMod val="65000"/>
                    <a:lumOff val="35000"/>
                  </a:srgbClr>
                </a:solidFill>
                <a:latin typeface="+mn-lt"/>
                <a:ea typeface="+mn-ea"/>
                <a:cs typeface="+mn-cs"/>
              </a:defRPr>
            </a:pPr>
            <a:r>
              <a:rPr sz="1000" b="0"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单位：万元</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rgbClr val="595959">
                    <a:lumMod val="65000"/>
                    <a:lumOff val="35000"/>
                  </a:srgbClr>
                </a:solidFill>
                <a:latin typeface="+mn-lt"/>
                <a:ea typeface="+mn-ea"/>
                <a:cs typeface="+mn-cs"/>
              </a:defRPr>
            </a:pP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222760718648218"/>
          <c:y val="0.222950819672131"/>
          <c:w val="0.376962113032558"/>
          <c:h val="0.679102237929777"/>
        </c:manualLayout>
      </c:layout>
      <c:pie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spPr>
              <a:solidFill>
                <a:srgbClr val="C0504D"/>
              </a:solidFill>
              <a:ln w="19050">
                <a:solidFill>
                  <a:srgbClr val="FFFFFF"/>
                </a:solidFill>
              </a:ln>
              <a:effectLst/>
            </c:spPr>
          </c:dPt>
          <c:dPt>
            <c:idx val="2"/>
            <c:bubble3D val="0"/>
            <c:explosion val="0"/>
            <c:spPr>
              <a:solidFill>
                <a:srgbClr val="9BBB59"/>
              </a:solidFill>
              <a:ln w="19050">
                <a:solidFill>
                  <a:srgbClr val="FFFFFF"/>
                </a:solidFill>
              </a:ln>
              <a:effectLst/>
            </c:spPr>
          </c:dPt>
          <c:dPt>
            <c:idx val="3"/>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[2023年部门决算公开图表模板.xls]Sheet1!$B$42:$B$45</c:f>
              <c:strCache>
                <c:ptCount val="4"/>
                <c:pt idx="0">
                  <c:v>财政拨款收入</c:v>
                </c:pt>
                <c:pt idx="1">
                  <c:v>事业收入</c:v>
                </c:pt>
                <c:pt idx="2">
                  <c:v>经营收入</c:v>
                </c:pt>
                <c:pt idx="3">
                  <c:v>其他收入</c:v>
                </c:pt>
              </c:strCache>
            </c:strRef>
          </c:cat>
          <c:val>
            <c:numRef>
              <c:f>[2023年部门决算公开图表模板.xls]Sheet1!$C$42:$C$45</c:f>
              <c:numCache>
                <c:formatCode>General</c:formatCode>
                <c:ptCount val="4"/>
                <c:pt idx="0">
                  <c:v>376.81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19732007-709f-40e1-8de0-e6028837e7a3}"/>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支出决算情况结构图</a:t>
            </a:r>
            <a:endPar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endParaRPr>
          </a:p>
          <a:p>
            <a:pPr defTabSz="914400">
              <a:defRPr lang="zh-CN" sz="1400" b="0" i="0" u="none" strike="noStrike" kern="1200" spc="0" baseline="0">
                <a:solidFill>
                  <a:srgbClr val="595959">
                    <a:lumMod val="65000"/>
                    <a:lumOff val="35000"/>
                  </a:srgbClr>
                </a:solidFill>
                <a:latin typeface="+mn-lt"/>
                <a:ea typeface="+mn-ea"/>
                <a:cs typeface="+mn-cs"/>
              </a:defRPr>
            </a:pPr>
            <a:r>
              <a:rPr sz="1000" b="0"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单位：万元</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rgbClr val="595959">
                    <a:lumMod val="65000"/>
                    <a:lumOff val="35000"/>
                  </a:srgbClr>
                </a:solidFill>
                <a:latin typeface="+mn-lt"/>
                <a:ea typeface="+mn-ea"/>
                <a:cs typeface="+mn-cs"/>
              </a:defRPr>
            </a:pPr>
            <a:r>
              <a:rPr sz="1000" b="0" i="0" u="none" strike="noStrike" baseline="0">
                <a:solidFill>
                  <a:srgbClr val="333333"/>
                </a:solidFill>
                <a:latin typeface="宋体" panose="02010600030101010101" charset="-122"/>
                <a:ea typeface="宋体" panose="02010600030101010101" charset="-122"/>
                <a:cs typeface="宋体" panose="02010600030101010101" charset="-122"/>
              </a:rPr>
              <a:t>                                                                                                      </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92663119574349"/>
          <c:y val="0.214934409687185"/>
          <c:w val="0.407168860263232"/>
          <c:h val="0.733602421796166"/>
        </c:manualLayout>
      </c:layout>
      <c:pie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spPr>
              <a:solidFill>
                <a:srgbClr val="C0504D"/>
              </a:solidFill>
              <a:ln w="19050">
                <a:solidFill>
                  <a:srgbClr val="FFFFFF"/>
                </a:solidFill>
              </a:ln>
              <a:effectLst/>
            </c:spPr>
          </c:dPt>
          <c:dPt>
            <c:idx val="2"/>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[2023年部门决算公开图表模板.xls]Sheet1!$B$59:$B$61</c:f>
              <c:strCache>
                <c:ptCount val="3"/>
                <c:pt idx="0">
                  <c:v>基本支出</c:v>
                </c:pt>
                <c:pt idx="1">
                  <c:v>项目支出</c:v>
                </c:pt>
                <c:pt idx="2">
                  <c:v>经营支出</c:v>
                </c:pt>
              </c:strCache>
            </c:strRef>
          </c:cat>
          <c:val>
            <c:numRef>
              <c:f>[2023年部门决算公开图表模板.xls]Sheet1!$C$59:$C$61</c:f>
              <c:numCache>
                <c:formatCode>General</c:formatCode>
                <c:ptCount val="3"/>
                <c:pt idx="0">
                  <c:v>179.11</c:v>
                </c:pt>
                <c:pt idx="1">
                  <c:v>197.7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57350882105853"/>
          <c:y val="0.261352169525732"/>
          <c:w val="0.21475"/>
          <c:h val="0.53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6ce4d1f5-4a61-4fad-8f67-69966040f635}"/>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财政拨款收入支出决算总体对比图</a:t>
            </a:r>
            <a:endPar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endParaRPr>
          </a:p>
          <a:p>
            <a:pPr defTabSz="914400">
              <a:defRPr lang="zh-CN" sz="1400" b="0" i="0" u="none" strike="noStrike" kern="1200" spc="0" baseline="0">
                <a:solidFill>
                  <a:srgbClr val="595959">
                    <a:lumMod val="65000"/>
                    <a:lumOff val="35000"/>
                  </a:srgbClr>
                </a:solidFill>
                <a:latin typeface="+mn-lt"/>
                <a:ea typeface="+mn-ea"/>
                <a:cs typeface="+mn-cs"/>
              </a:defRPr>
            </a:pPr>
            <a:r>
              <a:rPr sz="1000" b="0"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a:t>
            </a:r>
            <a:r>
              <a:rPr lang="en-US" altLang="zh-CN" sz="1000" b="0"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a:t>
            </a:r>
            <a:r>
              <a:rPr sz="1000" b="0"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单位：万元</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[2023年部门决算公开图表模板.xls]Sheet1!$B$78</c:f>
              <c:strCache>
                <c:ptCount val="1"/>
                <c:pt idx="0">
                  <c:v>2023年</c:v>
                </c:pt>
              </c:strCache>
            </c:strRef>
          </c:tx>
          <c:spPr>
            <a:solidFill>
              <a:srgbClr val="4F81B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[2023年部门决算公开图表模板.xls]Sheet1!$C$77:$D$77</c:f>
              <c:strCache>
                <c:ptCount val="2"/>
                <c:pt idx="0">
                  <c:v>收入</c:v>
                </c:pt>
                <c:pt idx="1">
                  <c:v>支出</c:v>
                </c:pt>
              </c:strCache>
            </c:strRef>
          </c:cat>
          <c:val>
            <c:numRef>
              <c:f>[2023年部门决算公开图表模板.xls]Sheet1!$C$78:$D$78</c:f>
              <c:numCache>
                <c:formatCode>General</c:formatCode>
                <c:ptCount val="2"/>
                <c:pt idx="0">
                  <c:v>229.36</c:v>
                </c:pt>
                <c:pt idx="1">
                  <c:v>229.36</c:v>
                </c:pt>
              </c:numCache>
            </c:numRef>
          </c:val>
        </c:ser>
        <c:ser>
          <c:idx val="1"/>
          <c:order val="1"/>
          <c:tx>
            <c:strRef>
              <c:f>[2023年部门决算公开图表模板.xls]Sheet1!$B$79</c:f>
              <c:strCache>
                <c:ptCount val="1"/>
                <c:pt idx="0">
                  <c:v>2024年</c:v>
                </c:pt>
              </c:strCache>
            </c:strRef>
          </c:tx>
          <c:spPr>
            <a:solidFill>
              <a:srgbClr val="C0504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[2023年部门决算公开图表模板.xls]Sheet1!$C$77:$D$77</c:f>
              <c:strCache>
                <c:ptCount val="2"/>
                <c:pt idx="0">
                  <c:v>收入</c:v>
                </c:pt>
                <c:pt idx="1">
                  <c:v>支出</c:v>
                </c:pt>
              </c:strCache>
            </c:strRef>
          </c:cat>
          <c:val>
            <c:numRef>
              <c:f>[2023年部门决算公开图表模板.xls]Sheet1!$C$79:$D$79</c:f>
              <c:numCache>
                <c:formatCode>General</c:formatCode>
                <c:ptCount val="2"/>
                <c:pt idx="0">
                  <c:v>376.81</c:v>
                </c:pt>
                <c:pt idx="1">
                  <c:v>376.81</c:v>
                </c:pt>
              </c:numCache>
            </c:numRef>
          </c:val>
        </c:ser>
        <c:dLbls>
          <c:showLegendKey val="0"/>
          <c:showVal val="0"/>
          <c:showCatName val="0"/>
          <c:showSerName val="0"/>
          <c:showPercent val="0"/>
          <c:showBubbleSize val="0"/>
        </c:dLbls>
        <c:gapWidth val="219"/>
        <c:overlap val="-27"/>
        <c:axId val="497194772"/>
        <c:axId val="270667754"/>
      </c:barChart>
      <c:catAx>
        <c:axId val="497194772"/>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70667754"/>
        <c:crosses val="autoZero"/>
        <c:auto val="1"/>
        <c:lblAlgn val="ctr"/>
        <c:lblOffset val="100"/>
        <c:noMultiLvlLbl val="0"/>
      </c:catAx>
      <c:valAx>
        <c:axId val="27066775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971947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8da817ef-1b2c-46f4-a047-7fcbece7a3f8}"/>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一般公共预算财政拨款支出决算情况对比图</a:t>
            </a:r>
            <a:r>
              <a:rPr lang="en-US" altLang="zh-CN"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a:t>
            </a:r>
            <a:endPar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endParaRPr>
          </a:p>
          <a:p>
            <a:pPr defTabSz="914400">
              <a:defRPr lang="zh-CN" sz="1400" b="0" i="0" u="none" strike="noStrike" kern="1200" spc="0" baseline="0">
                <a:solidFill>
                  <a:srgbClr val="595959">
                    <a:lumMod val="65000"/>
                    <a:lumOff val="35000"/>
                  </a:srgbClr>
                </a:solidFill>
                <a:latin typeface="+mn-lt"/>
                <a:ea typeface="+mn-ea"/>
                <a:cs typeface="+mn-cs"/>
              </a:defRPr>
            </a:pPr>
            <a:r>
              <a:rPr sz="1000" b="0"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单位：万元</a:t>
            </a:r>
            <a:endParaRPr sz="1400" b="1"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endParaRPr>
          </a:p>
          <a:p>
            <a:pPr defTabSz="914400">
              <a:defRPr lang="zh-CN" sz="1400" b="0" i="0" u="none" strike="noStrike" kern="1200" spc="0" baseline="0">
                <a:solidFill>
                  <a:srgbClr val="595959">
                    <a:lumMod val="65000"/>
                    <a:lumOff val="35000"/>
                  </a:srgbClr>
                </a:solidFill>
                <a:latin typeface="+mn-lt"/>
                <a:ea typeface="+mn-ea"/>
                <a:cs typeface="+mn-cs"/>
              </a:defRPr>
            </a:pPr>
            <a:r>
              <a:rPr sz="1000" b="0" i="0" u="none" strike="noStrike" baseline="0">
                <a:solidFill>
                  <a:srgbClr val="333333"/>
                </a:solidFill>
                <a:latin typeface="宋体" panose="02010600030101010101" charset="-122"/>
                <a:ea typeface="宋体" panose="02010600030101010101" charset="-122"/>
                <a:cs typeface="宋体" panose="02010600030101010101" charset="-122"/>
              </a:rPr>
              <a:t>                                                                                               </a:t>
            </a:r>
            <a:r>
              <a:rPr sz="1000" b="0" i="0" u="none" strike="noStrike" baseline="0">
                <a:solidFill>
                  <a:srgbClr val="333333"/>
                </a:solidFill>
                <a:latin typeface="仿宋_GB2312" panose="02010609030101010101" pitchFamily="3" charset="-122"/>
                <a:ea typeface="仿宋_GB2312" panose="02010609030101010101" pitchFamily="3" charset="-122"/>
                <a:cs typeface="仿宋_GB2312" panose="02010609030101010101" pitchFamily="3" charset="-122"/>
              </a:rPr>
              <a:t>                  </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rgbClr val="C0504D"/>
            </a:solidFill>
            <a:ln>
              <a:noFill/>
            </a:ln>
            <a:effectLst/>
          </c:spPr>
          <c:invertIfNegative val="0"/>
          <c:dPt>
            <c:idx val="0"/>
            <c:invertIfNegative val="0"/>
            <c:bubble3D val="0"/>
            <c:explosion val="0"/>
            <c:spPr>
              <a:solidFill>
                <a:srgbClr val="4F81BD"/>
              </a:solidFill>
              <a:ln>
                <a:noFill/>
              </a:ln>
              <a:effectLst/>
            </c:spPr>
          </c:dPt>
          <c:dPt>
            <c:idx val="1"/>
            <c:invertIfNegative val="0"/>
            <c:bubble3D val="0"/>
            <c:explosion val="0"/>
            <c:spPr>
              <a:solidFill>
                <a:srgbClr val="C0504D"/>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[2023年部门决算公开图表模板.xls]Sheet1!$B$96:$B$97</c:f>
              <c:strCache>
                <c:ptCount val="2"/>
                <c:pt idx="0">
                  <c:v>2023年</c:v>
                </c:pt>
                <c:pt idx="1">
                  <c:v>2024年</c:v>
                </c:pt>
              </c:strCache>
            </c:strRef>
          </c:cat>
          <c:val>
            <c:numRef>
              <c:f>[2023年部门决算公开图表模板.xls]Sheet1!$C$96:$C$97</c:f>
              <c:numCache>
                <c:formatCode>General</c:formatCode>
                <c:ptCount val="2"/>
                <c:pt idx="0">
                  <c:v>229.36</c:v>
                </c:pt>
                <c:pt idx="1">
                  <c:v>376.81</c:v>
                </c:pt>
              </c:numCache>
            </c:numRef>
          </c:val>
        </c:ser>
        <c:dLbls>
          <c:showLegendKey val="0"/>
          <c:showVal val="0"/>
          <c:showCatName val="0"/>
          <c:showSerName val="0"/>
          <c:showPercent val="0"/>
          <c:showBubbleSize val="0"/>
        </c:dLbls>
        <c:gapWidth val="219"/>
        <c:overlap val="-27"/>
        <c:axId val="856589977"/>
        <c:axId val="248616127"/>
      </c:barChart>
      <c:catAx>
        <c:axId val="856589977"/>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48616127"/>
        <c:crosses val="autoZero"/>
        <c:auto val="1"/>
        <c:lblAlgn val="ctr"/>
        <c:lblOffset val="100"/>
        <c:noMultiLvlLbl val="0"/>
      </c:catAx>
      <c:valAx>
        <c:axId val="248616127"/>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56589977"/>
        <c:crosses val="autoZero"/>
        <c:crossBetween val="between"/>
      </c:valAx>
      <c:spPr>
        <a:noFill/>
        <a:ln>
          <a:noFill/>
        </a:ln>
        <a:effectLst/>
      </c:spPr>
    </c:plotArea>
    <c:plotVisOnly val="1"/>
    <c:dispBlanksAs val="gap"/>
    <c:showDLblsOverMax val="0"/>
    <c:extLst>
      <c:ext uri="{0b15fc19-7d7d-44ad-8c2d-2c3a37ce22c3}">
        <chartProps xmlns="https://web.wps.cn/et/2018/main" chartId="{d09f77ae-47af-4b34-aaf7-28e9b498bd14}"/>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一般公共预算财政拨款支出功能分类情况表</a:t>
            </a:r>
            <a:endParaRPr sz="1400" b="1" i="0" u="none" strike="noStrike" baseline="0">
              <a:solidFill>
                <a:srgbClr val="404040">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rgbClr val="4F81BD"/>
              </a:solidFill>
              <a:ln>
                <a:solidFill>
                  <a:srgbClr val="FFFFFF"/>
                </a:solidFill>
              </a:ln>
              <a:effectLst/>
            </c:spPr>
          </c:dPt>
          <c:dPt>
            <c:idx val="1"/>
            <c:bubble3D val="0"/>
            <c:explosion val="0"/>
            <c:spPr>
              <a:solidFill>
                <a:srgbClr val="C0504D"/>
              </a:solidFill>
              <a:ln>
                <a:solidFill>
                  <a:srgbClr val="FFFFFF"/>
                </a:solidFill>
              </a:ln>
              <a:effectLst/>
            </c:spPr>
          </c:dPt>
          <c:dPt>
            <c:idx val="2"/>
            <c:bubble3D val="0"/>
            <c:explosion val="0"/>
            <c:spPr>
              <a:solidFill>
                <a:srgbClr val="9BBB59"/>
              </a:solidFill>
              <a:ln>
                <a:solidFill>
                  <a:srgbClr val="FFFFFF"/>
                </a:solidFill>
              </a:ln>
              <a:effectLst/>
            </c:spPr>
          </c:dPt>
          <c:dPt>
            <c:idx val="3"/>
            <c:bubble3D val="0"/>
            <c:explosion val="0"/>
            <c:spPr>
              <a:solidFill>
                <a:srgbClr val="8064A2"/>
              </a:solidFill>
              <a:ln>
                <a:solidFill>
                  <a:srgbClr val="FFFFFF"/>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[2023年部门决算公开图表模板.xls]Sheet1!$B$116:$B$119</c:f>
              <c:strCache>
                <c:ptCount val="4"/>
                <c:pt idx="0">
                  <c:v>社会保障和就业支出</c:v>
                </c:pt>
                <c:pt idx="1">
                  <c:v>卫生健康支出</c:v>
                </c:pt>
                <c:pt idx="2">
                  <c:v>城乡社区支出</c:v>
                </c:pt>
                <c:pt idx="3">
                  <c:v>住房保障支出</c:v>
                </c:pt>
              </c:strCache>
            </c:strRef>
          </c:cat>
          <c:val>
            <c:numRef>
              <c:f>[2023年部门决算公开图表模板.xls]Sheet1!$C$116:$C$119</c:f>
              <c:numCache>
                <c:formatCode>General</c:formatCode>
                <c:ptCount val="4"/>
                <c:pt idx="0">
                  <c:v>29.01</c:v>
                </c:pt>
                <c:pt idx="1">
                  <c:v>7.29</c:v>
                </c:pt>
                <c:pt idx="2">
                  <c:v>324.79</c:v>
                </c:pt>
                <c:pt idx="3">
                  <c:v>15.72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11328671328671"/>
          <c:y val="0.412557077625571"/>
          <c:w val="0.2675"/>
          <c:h val="0.264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9f67b32c-e71c-4149-b58b-1b3797887fc1}"/>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3615</Words>
  <Characters>3908</Characters>
  <Lines>85</Lines>
  <Paragraphs>24</Paragraphs>
  <TotalTime>29.6666666666667</TotalTime>
  <ScaleCrop>false</ScaleCrop>
  <LinksUpToDate>false</LinksUpToDate>
  <CharactersWithSpaces>3992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2020-07-25T01:23:00Z</dcterms:created>
  <dc:creator>Administrator</dc:creator>
  <cp:lastModifiedBy>刘飞</cp:lastModifiedBy>
  <cp:lastPrinted>2024-08-24T14:49:00Z</cp:lastPrinted>
  <dcterms:modified xsi:type="dcterms:W3CDTF">2026-07-13T08:56:46Z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5138932E80BF47248DC6ADBF89350BCB_13</vt:lpwstr>
  </property>
  <property fmtid="{D5CDD505-2E9C-101B-9397-08002B2CF9AE}" pid="4" name="KSOTemplateDocerSaveRecord">
    <vt:lpwstr>eyJoZGlkIjoiNGYyYzczOGIzMWE0NDc1YWUyNWJmYTAwYjdhNTNkMDQiLCJ1c2VySWQiOiI0NDEyNDExMDYifQ==</vt:lpwstr>
  </property>
</Properties>
</file>