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81172E" w14:textId="77777777" w:rsidR="00461755" w:rsidRDefault="00461755">
      <w:pPr>
        <w:jc w:val="center"/>
        <w:rPr>
          <w:rFonts w:ascii="Times New Roman" w:hAnsi="Times New Roman" w:cs="Times New Roman"/>
          <w:b/>
          <w:bCs/>
          <w:sz w:val="44"/>
          <w:szCs w:val="44"/>
        </w:rPr>
      </w:pPr>
    </w:p>
    <w:p w14:paraId="6C631E45" w14:textId="77777777" w:rsidR="00461755" w:rsidRDefault="00461755">
      <w:pPr>
        <w:jc w:val="center"/>
        <w:rPr>
          <w:rFonts w:ascii="Times New Roman" w:hAnsi="Times New Roman" w:cs="Times New Roman"/>
          <w:b/>
          <w:bCs/>
          <w:sz w:val="44"/>
          <w:szCs w:val="44"/>
        </w:rPr>
      </w:pPr>
    </w:p>
    <w:p w14:paraId="318D1FC0" w14:textId="77777777" w:rsidR="00461755" w:rsidRDefault="00461755">
      <w:pPr>
        <w:jc w:val="center"/>
        <w:rPr>
          <w:rFonts w:ascii="Times New Roman" w:hAnsi="Times New Roman" w:cs="Times New Roman"/>
          <w:b/>
          <w:bCs/>
          <w:sz w:val="44"/>
          <w:szCs w:val="44"/>
        </w:rPr>
      </w:pPr>
    </w:p>
    <w:p w14:paraId="0E07C4C5" w14:textId="77777777" w:rsidR="00461755" w:rsidRDefault="00B3769C">
      <w:pPr>
        <w:jc w:val="center"/>
        <w:rPr>
          <w:rFonts w:ascii="Times New Roman" w:eastAsia="方正小标宋简体" w:hAnsi="Times New Roman" w:cs="Times New Roman"/>
          <w:sz w:val="52"/>
          <w:szCs w:val="52"/>
        </w:rPr>
      </w:pPr>
      <w:r>
        <w:rPr>
          <w:rFonts w:ascii="Times New Roman" w:eastAsia="方正小标宋简体" w:hAnsi="Times New Roman" w:cs="Times New Roman"/>
          <w:sz w:val="52"/>
          <w:szCs w:val="52"/>
        </w:rPr>
        <w:t>汉中市发展和改革委员会</w:t>
      </w:r>
    </w:p>
    <w:p w14:paraId="5B147FFF" w14:textId="77777777" w:rsidR="00461755" w:rsidRDefault="00B3769C">
      <w:pPr>
        <w:jc w:val="center"/>
        <w:rPr>
          <w:rFonts w:ascii="Times New Roman" w:eastAsia="方正小标宋简体" w:hAnsi="Times New Roman" w:cs="Times New Roman"/>
          <w:sz w:val="52"/>
          <w:szCs w:val="52"/>
        </w:rPr>
      </w:pPr>
      <w:r>
        <w:rPr>
          <w:rFonts w:ascii="Times New Roman" w:eastAsia="方正小标宋简体" w:hAnsi="Times New Roman" w:cs="Times New Roman"/>
          <w:sz w:val="52"/>
          <w:szCs w:val="52"/>
        </w:rPr>
        <w:t>2024</w:t>
      </w:r>
      <w:r>
        <w:rPr>
          <w:rFonts w:ascii="Times New Roman" w:eastAsia="方正小标宋简体" w:hAnsi="Times New Roman" w:cs="Times New Roman"/>
          <w:sz w:val="52"/>
          <w:szCs w:val="52"/>
        </w:rPr>
        <w:t>年度</w:t>
      </w:r>
      <w:r>
        <w:rPr>
          <w:rFonts w:ascii="Times New Roman" w:eastAsia="方正小标宋简体" w:hAnsi="Times New Roman" w:cs="Times New Roman" w:hint="eastAsia"/>
          <w:sz w:val="52"/>
          <w:szCs w:val="52"/>
        </w:rPr>
        <w:t>部门</w:t>
      </w:r>
      <w:r>
        <w:rPr>
          <w:rFonts w:ascii="Times New Roman" w:eastAsia="方正小标宋简体" w:hAnsi="Times New Roman" w:cs="Times New Roman"/>
          <w:sz w:val="52"/>
          <w:szCs w:val="52"/>
        </w:rPr>
        <w:t>决算</w:t>
      </w:r>
    </w:p>
    <w:p w14:paraId="3C7F4FF3" w14:textId="77777777" w:rsidR="00461755" w:rsidRDefault="00461755">
      <w:pPr>
        <w:jc w:val="center"/>
        <w:rPr>
          <w:rFonts w:ascii="Times New Roman" w:eastAsia="楷体" w:hAnsi="Times New Roman" w:cs="Times New Roman"/>
          <w:sz w:val="52"/>
          <w:szCs w:val="52"/>
        </w:rPr>
      </w:pPr>
    </w:p>
    <w:p w14:paraId="7B2AEFD8" w14:textId="77777777" w:rsidR="00461755" w:rsidRDefault="00461755">
      <w:pPr>
        <w:jc w:val="center"/>
        <w:rPr>
          <w:rFonts w:ascii="Times New Roman" w:eastAsia="楷体" w:hAnsi="Times New Roman" w:cs="Times New Roman"/>
          <w:sz w:val="52"/>
          <w:szCs w:val="52"/>
        </w:rPr>
      </w:pPr>
    </w:p>
    <w:p w14:paraId="3940381E" w14:textId="77777777" w:rsidR="00461755" w:rsidRDefault="00461755">
      <w:pPr>
        <w:jc w:val="center"/>
        <w:rPr>
          <w:rFonts w:ascii="Times New Roman" w:eastAsia="方正小标宋简体" w:hAnsi="Times New Roman" w:cs="Times New Roman"/>
          <w:sz w:val="52"/>
          <w:szCs w:val="52"/>
        </w:rPr>
      </w:pPr>
    </w:p>
    <w:p w14:paraId="6FB59A1B" w14:textId="77777777" w:rsidR="00461755" w:rsidRDefault="00461755">
      <w:pPr>
        <w:jc w:val="center"/>
        <w:rPr>
          <w:rFonts w:ascii="Times New Roman" w:hAnsi="Times New Roman" w:cs="Times New Roman"/>
          <w:b/>
          <w:bCs/>
          <w:sz w:val="44"/>
          <w:szCs w:val="44"/>
        </w:rPr>
      </w:pPr>
    </w:p>
    <w:p w14:paraId="24E5FB64" w14:textId="77777777" w:rsidR="00461755" w:rsidRDefault="00461755">
      <w:pPr>
        <w:jc w:val="center"/>
        <w:rPr>
          <w:rFonts w:ascii="Times New Roman" w:hAnsi="Times New Roman" w:cs="Times New Roman"/>
          <w:b/>
          <w:bCs/>
          <w:sz w:val="44"/>
          <w:szCs w:val="44"/>
        </w:rPr>
      </w:pPr>
    </w:p>
    <w:p w14:paraId="25E9EF4A" w14:textId="77777777" w:rsidR="00461755" w:rsidRDefault="00461755">
      <w:pPr>
        <w:jc w:val="center"/>
        <w:rPr>
          <w:rFonts w:ascii="Times New Roman" w:hAnsi="Times New Roman" w:cs="Times New Roman"/>
          <w:b/>
          <w:bCs/>
          <w:sz w:val="44"/>
          <w:szCs w:val="44"/>
        </w:rPr>
      </w:pPr>
    </w:p>
    <w:p w14:paraId="1A8DBA0F" w14:textId="77777777" w:rsidR="00461755" w:rsidRDefault="00461755">
      <w:pPr>
        <w:rPr>
          <w:rFonts w:ascii="Times New Roman" w:hAnsi="Times New Roman" w:cs="Times New Roman"/>
          <w:b/>
          <w:bCs/>
          <w:sz w:val="44"/>
          <w:szCs w:val="44"/>
        </w:rPr>
      </w:pPr>
    </w:p>
    <w:p w14:paraId="4A279290" w14:textId="77777777" w:rsidR="00461755" w:rsidRDefault="00461755">
      <w:pPr>
        <w:rPr>
          <w:rFonts w:ascii="Times New Roman" w:hAnsi="Times New Roman" w:cs="Times New Roman"/>
          <w:b/>
          <w:bCs/>
          <w:sz w:val="44"/>
          <w:szCs w:val="44"/>
        </w:rPr>
      </w:pPr>
    </w:p>
    <w:p w14:paraId="6B2E723B" w14:textId="77777777" w:rsidR="00461755" w:rsidRDefault="00461755">
      <w:pPr>
        <w:rPr>
          <w:rFonts w:ascii="Times New Roman" w:hAnsi="Times New Roman" w:cs="Times New Roman"/>
          <w:b/>
          <w:bCs/>
          <w:sz w:val="44"/>
          <w:szCs w:val="44"/>
        </w:rPr>
      </w:pPr>
    </w:p>
    <w:p w14:paraId="6FE12C0E" w14:textId="77777777" w:rsidR="00461755" w:rsidRDefault="00461755">
      <w:pPr>
        <w:ind w:firstLineChars="800" w:firstLine="2570"/>
        <w:rPr>
          <w:rFonts w:ascii="Times New Roman" w:hAnsi="Times New Roman" w:cs="Times New Roman"/>
          <w:b/>
          <w:bCs/>
          <w:sz w:val="32"/>
          <w:szCs w:val="32"/>
        </w:rPr>
      </w:pPr>
    </w:p>
    <w:p w14:paraId="2C640136" w14:textId="77777777" w:rsidR="00461755" w:rsidRDefault="00461755">
      <w:pPr>
        <w:ind w:firstLineChars="800" w:firstLine="2570"/>
        <w:rPr>
          <w:rFonts w:ascii="Times New Roman" w:hAnsi="Times New Roman" w:cs="Times New Roman"/>
          <w:b/>
          <w:bCs/>
          <w:sz w:val="32"/>
          <w:szCs w:val="32"/>
        </w:rPr>
      </w:pPr>
    </w:p>
    <w:p w14:paraId="138F2C4B" w14:textId="77777777" w:rsidR="00461755" w:rsidRDefault="00B3769C">
      <w:pPr>
        <w:ind w:firstLineChars="650" w:firstLine="2088"/>
        <w:rPr>
          <w:rFonts w:ascii="Times New Roman" w:hAnsi="Times New Roman" w:cs="Times New Roman"/>
          <w:b/>
          <w:bCs/>
          <w:sz w:val="32"/>
          <w:szCs w:val="32"/>
        </w:rPr>
      </w:pPr>
      <w:r>
        <w:rPr>
          <w:rFonts w:ascii="Times New Roman" w:hAnsi="Times New Roman" w:cs="Times New Roman"/>
          <w:b/>
          <w:bCs/>
          <w:sz w:val="32"/>
          <w:szCs w:val="32"/>
        </w:rPr>
        <w:t>保密审查情况：</w:t>
      </w:r>
      <w:r>
        <w:rPr>
          <w:rFonts w:ascii="Times New Roman" w:hAnsi="Times New Roman" w:cs="Times New Roman" w:hint="eastAsia"/>
          <w:b/>
          <w:bCs/>
          <w:sz w:val="32"/>
          <w:szCs w:val="32"/>
        </w:rPr>
        <w:t>已审查</w:t>
      </w:r>
    </w:p>
    <w:p w14:paraId="76A2EB25" w14:textId="77777777" w:rsidR="00461755" w:rsidRDefault="00B3769C">
      <w:pPr>
        <w:ind w:firstLineChars="650" w:firstLine="2088"/>
        <w:rPr>
          <w:rFonts w:ascii="Times New Roman" w:eastAsia="黑体" w:hAnsi="Times New Roman" w:cs="Times New Roman"/>
          <w:bCs/>
          <w:kern w:val="0"/>
          <w:sz w:val="36"/>
          <w:szCs w:val="36"/>
        </w:rPr>
        <w:sectPr w:rsidR="00461755">
          <w:footerReference w:type="default" r:id="rId8"/>
          <w:pgSz w:w="11906" w:h="16838"/>
          <w:pgMar w:top="1440" w:right="1800" w:bottom="1440" w:left="1800" w:header="851" w:footer="992" w:gutter="0"/>
          <w:pgNumType w:start="1"/>
          <w:cols w:space="720"/>
          <w:docGrid w:type="lines" w:linePitch="315"/>
        </w:sectPr>
      </w:pPr>
      <w:r>
        <w:rPr>
          <w:rFonts w:ascii="Times New Roman" w:hAnsi="Times New Roman" w:cs="Times New Roman"/>
          <w:b/>
          <w:bCs/>
          <w:sz w:val="32"/>
          <w:szCs w:val="32"/>
        </w:rPr>
        <w:t>主要负责人审签情况：</w:t>
      </w:r>
      <w:r>
        <w:rPr>
          <w:rFonts w:ascii="宋体" w:hAnsi="宋体" w:cs="宋体" w:hint="eastAsia"/>
          <w:b/>
          <w:bCs/>
          <w:sz w:val="32"/>
          <w:szCs w:val="32"/>
        </w:rPr>
        <w:t>已审签</w:t>
      </w:r>
    </w:p>
    <w:p w14:paraId="6323E998" w14:textId="77777777" w:rsidR="00461755" w:rsidRDefault="00B3769C">
      <w:pPr>
        <w:widowControl/>
        <w:jc w:val="center"/>
        <w:rPr>
          <w:rFonts w:ascii="Times New Roman" w:eastAsia="黑体" w:hAnsi="Times New Roman" w:cs="Times New Roman"/>
          <w:bCs/>
          <w:kern w:val="0"/>
          <w:sz w:val="36"/>
          <w:szCs w:val="36"/>
        </w:rPr>
      </w:pPr>
      <w:r>
        <w:rPr>
          <w:rFonts w:ascii="Times New Roman" w:eastAsia="黑体" w:hAnsi="Times New Roman" w:cs="Times New Roman"/>
          <w:bCs/>
          <w:kern w:val="0"/>
          <w:sz w:val="36"/>
          <w:szCs w:val="36"/>
        </w:rPr>
        <w:lastRenderedPageBreak/>
        <w:t>目</w:t>
      </w:r>
      <w:r>
        <w:rPr>
          <w:rFonts w:ascii="Times New Roman" w:eastAsia="黑体" w:hAnsi="Times New Roman" w:cs="Times New Roman"/>
          <w:bCs/>
          <w:kern w:val="0"/>
          <w:sz w:val="36"/>
          <w:szCs w:val="36"/>
        </w:rPr>
        <w:t xml:space="preserve">  </w:t>
      </w:r>
      <w:r>
        <w:rPr>
          <w:rFonts w:ascii="Times New Roman" w:eastAsia="黑体" w:hAnsi="Times New Roman" w:cs="Times New Roman"/>
          <w:bCs/>
          <w:kern w:val="0"/>
          <w:sz w:val="36"/>
          <w:szCs w:val="36"/>
        </w:rPr>
        <w:t>录</w:t>
      </w:r>
    </w:p>
    <w:p w14:paraId="73C54F7F" w14:textId="77777777" w:rsidR="00461755" w:rsidRDefault="00B3769C">
      <w:pPr>
        <w:widowControl/>
        <w:jc w:val="center"/>
        <w:rPr>
          <w:rFonts w:ascii="Times New Roman" w:eastAsia="方正小标宋简体" w:hAnsi="Times New Roman" w:cs="Times New Roman"/>
        </w:rPr>
      </w:pPr>
      <w:r>
        <w:rPr>
          <w:rFonts w:ascii="Times New Roman" w:eastAsia="方正小标宋简体" w:hAnsi="Times New Roman" w:cs="Times New Roman"/>
          <w:kern w:val="0"/>
          <w:sz w:val="32"/>
          <w:szCs w:val="32"/>
        </w:rPr>
        <w:t>第一部分</w:t>
      </w:r>
      <w:r>
        <w:rPr>
          <w:rFonts w:ascii="Times New Roman" w:eastAsia="方正小标宋简体" w:hAnsi="Times New Roman" w:cs="Times New Roman"/>
          <w:kern w:val="0"/>
          <w:sz w:val="32"/>
          <w:szCs w:val="32"/>
        </w:rPr>
        <w:t xml:space="preserve">  </w:t>
      </w:r>
      <w:r>
        <w:rPr>
          <w:rFonts w:ascii="Times New Roman" w:eastAsia="方正小标宋简体" w:hAnsi="Times New Roman" w:cs="Times New Roman"/>
          <w:kern w:val="0"/>
          <w:sz w:val="32"/>
          <w:szCs w:val="32"/>
        </w:rPr>
        <w:t>部门（单位）概况</w:t>
      </w:r>
    </w:p>
    <w:p w14:paraId="7387AED3"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一、部门（单位）主要职责及内设机构</w:t>
      </w:r>
    </w:p>
    <w:p w14:paraId="374ABFE0"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二、部门决算单位构成</w:t>
      </w:r>
    </w:p>
    <w:p w14:paraId="49AFCB84"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三、部门（单位）人员情况</w:t>
      </w:r>
    </w:p>
    <w:p w14:paraId="781F6A4E" w14:textId="77777777" w:rsidR="00461755" w:rsidRDefault="00B3769C">
      <w:pPr>
        <w:widowControl/>
        <w:jc w:val="center"/>
        <w:rPr>
          <w:rFonts w:ascii="Times New Roman" w:eastAsia="方正小标宋简体" w:hAnsi="Times New Roman" w:cs="Times New Roman"/>
          <w:kern w:val="0"/>
          <w:sz w:val="32"/>
          <w:szCs w:val="32"/>
        </w:rPr>
      </w:pPr>
      <w:r>
        <w:rPr>
          <w:rFonts w:ascii="Times New Roman" w:eastAsia="方正小标宋简体" w:hAnsi="Times New Roman" w:cs="Times New Roman"/>
          <w:kern w:val="0"/>
          <w:sz w:val="32"/>
          <w:szCs w:val="32"/>
        </w:rPr>
        <w:t>第二部分</w:t>
      </w:r>
      <w:r>
        <w:rPr>
          <w:rFonts w:ascii="Times New Roman" w:eastAsia="方正小标宋简体" w:hAnsi="Times New Roman" w:cs="Times New Roman"/>
          <w:kern w:val="0"/>
          <w:sz w:val="32"/>
          <w:szCs w:val="32"/>
        </w:rPr>
        <w:t xml:space="preserve">  2024</w:t>
      </w:r>
      <w:r>
        <w:rPr>
          <w:rFonts w:ascii="Times New Roman" w:eastAsia="方正小标宋简体" w:hAnsi="Times New Roman" w:cs="Times New Roman"/>
          <w:kern w:val="0"/>
          <w:sz w:val="32"/>
          <w:szCs w:val="32"/>
        </w:rPr>
        <w:t>年度部门决算情况说明</w:t>
      </w:r>
    </w:p>
    <w:p w14:paraId="683E2CFE"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一、收入支出决算总体情况说明   </w:t>
      </w:r>
    </w:p>
    <w:p w14:paraId="3450F373"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二、收入决算情况说明     </w:t>
      </w:r>
    </w:p>
    <w:p w14:paraId="20986130"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三、支出决算情况说明    </w:t>
      </w:r>
    </w:p>
    <w:p w14:paraId="10D5432F"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四、财政拨款收入支出决算总体情况说明    </w:t>
      </w:r>
    </w:p>
    <w:p w14:paraId="607F2642"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五、一般公共预算财政拨款支出决算情况说明 </w:t>
      </w:r>
    </w:p>
    <w:p w14:paraId="08EB970F"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六、一般公共预算财政拨款基本支出决算情况说明   </w:t>
      </w:r>
    </w:p>
    <w:p w14:paraId="510ECF33"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七、政府性基金预算财政拨款收入支出决算情况说明 </w:t>
      </w:r>
    </w:p>
    <w:p w14:paraId="402FAC92"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八、国有资本经营预算财政拨款支出决算情况说明</w:t>
      </w:r>
    </w:p>
    <w:p w14:paraId="7FFC3D18"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九、财政拨款“三公”经费及会议费、培训费支出决算情况说明  </w:t>
      </w:r>
    </w:p>
    <w:p w14:paraId="0AC0BCAE"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十、机关运行经费支出情况说明 </w:t>
      </w:r>
    </w:p>
    <w:p w14:paraId="1F131589"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十一、政府采购支出情况说明 </w:t>
      </w:r>
    </w:p>
    <w:p w14:paraId="3A2DF6B2"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十二、国有资产占用及购置情况说明</w:t>
      </w:r>
    </w:p>
    <w:p w14:paraId="105DE0E9"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十三、预算绩效情况说明</w:t>
      </w:r>
    </w:p>
    <w:p w14:paraId="7C8A00BD"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十四、其他需要说明的情况</w:t>
      </w:r>
    </w:p>
    <w:p w14:paraId="554B5868" w14:textId="77777777" w:rsidR="00461755" w:rsidRDefault="00461755">
      <w:pPr>
        <w:widowControl/>
        <w:jc w:val="left"/>
        <w:rPr>
          <w:rFonts w:ascii="仿宋_GB2312" w:eastAsia="仿宋_GB2312" w:hAnsi="仿宋_GB2312" w:cs="仿宋_GB2312"/>
          <w:kern w:val="0"/>
          <w:sz w:val="32"/>
          <w:szCs w:val="32"/>
        </w:rPr>
      </w:pPr>
    </w:p>
    <w:p w14:paraId="468B7076" w14:textId="77777777" w:rsidR="00461755" w:rsidRDefault="00B3769C">
      <w:pPr>
        <w:widowControl/>
        <w:jc w:val="center"/>
        <w:rPr>
          <w:rFonts w:ascii="Times New Roman" w:eastAsia="方正小标宋简体" w:hAnsi="Times New Roman" w:cs="Times New Roman"/>
          <w:kern w:val="0"/>
          <w:sz w:val="32"/>
          <w:szCs w:val="32"/>
        </w:rPr>
      </w:pPr>
      <w:r>
        <w:rPr>
          <w:rFonts w:ascii="Times New Roman" w:eastAsia="方正小标宋简体" w:hAnsi="Times New Roman" w:cs="Times New Roman"/>
          <w:kern w:val="0"/>
          <w:sz w:val="32"/>
          <w:szCs w:val="32"/>
        </w:rPr>
        <w:lastRenderedPageBreak/>
        <w:t>第三部分</w:t>
      </w:r>
      <w:r>
        <w:rPr>
          <w:rFonts w:ascii="Times New Roman" w:eastAsia="方正小标宋简体" w:hAnsi="Times New Roman" w:cs="Times New Roman"/>
          <w:kern w:val="0"/>
          <w:sz w:val="32"/>
          <w:szCs w:val="32"/>
        </w:rPr>
        <w:t xml:space="preserve">  2024</w:t>
      </w:r>
      <w:r>
        <w:rPr>
          <w:rFonts w:ascii="Times New Roman" w:eastAsia="方正小标宋简体" w:hAnsi="Times New Roman" w:cs="Times New Roman"/>
          <w:kern w:val="0"/>
          <w:sz w:val="32"/>
          <w:szCs w:val="32"/>
        </w:rPr>
        <w:t>年度部门决算表</w:t>
      </w:r>
    </w:p>
    <w:p w14:paraId="6E66412C"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一、收入支出决算总表     </w:t>
      </w:r>
    </w:p>
    <w:p w14:paraId="63DF1ACF"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二、收入决算表     </w:t>
      </w:r>
    </w:p>
    <w:p w14:paraId="011471B6"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三、支出决算表    </w:t>
      </w:r>
    </w:p>
    <w:p w14:paraId="085B05EC"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四、财政拨款收入支出决算总表    </w:t>
      </w:r>
    </w:p>
    <w:p w14:paraId="26FEE80F"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五、一般公共预算财政拨款支出决算表  </w:t>
      </w:r>
    </w:p>
    <w:p w14:paraId="1C1944B5"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六、一般公共预算财政拨款基本支出决算表    </w:t>
      </w:r>
    </w:p>
    <w:p w14:paraId="106D86E5"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七、政府性基金预算财政拨款收入支出决算表 </w:t>
      </w:r>
    </w:p>
    <w:p w14:paraId="54DCC4B0"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八、国有资本经营预算财政拨款支出决算表</w:t>
      </w:r>
    </w:p>
    <w:p w14:paraId="34726CB1" w14:textId="77777777" w:rsidR="00461755" w:rsidRDefault="00B3769C">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九、财政拨款“三公”经费及会议费、培训费支出决算表 </w:t>
      </w:r>
    </w:p>
    <w:p w14:paraId="24C08EE1" w14:textId="77777777" w:rsidR="00461755" w:rsidRDefault="00461755">
      <w:pPr>
        <w:widowControl/>
        <w:jc w:val="center"/>
        <w:rPr>
          <w:rFonts w:ascii="Times New Roman" w:eastAsia="方正小标宋简体" w:hAnsi="Times New Roman" w:cs="Times New Roman"/>
          <w:kern w:val="0"/>
          <w:sz w:val="32"/>
          <w:szCs w:val="32"/>
        </w:rPr>
      </w:pPr>
    </w:p>
    <w:p w14:paraId="0A3619A5" w14:textId="77777777" w:rsidR="00461755" w:rsidRDefault="00461755">
      <w:pPr>
        <w:widowControl/>
        <w:jc w:val="center"/>
        <w:rPr>
          <w:rFonts w:ascii="Times New Roman" w:eastAsia="方正小标宋简体" w:hAnsi="Times New Roman" w:cs="Times New Roman"/>
          <w:kern w:val="0"/>
          <w:sz w:val="32"/>
          <w:szCs w:val="32"/>
        </w:rPr>
      </w:pPr>
    </w:p>
    <w:p w14:paraId="5882827E" w14:textId="77777777" w:rsidR="00461755" w:rsidRDefault="00B3769C">
      <w:pPr>
        <w:widowControl/>
        <w:numPr>
          <w:ilvl w:val="0"/>
          <w:numId w:val="1"/>
        </w:numPr>
        <w:jc w:val="center"/>
        <w:rPr>
          <w:rFonts w:ascii="Times New Roman" w:eastAsia="方正小标宋简体" w:hAnsi="Times New Roman" w:cs="Times New Roman"/>
          <w:kern w:val="0"/>
          <w:sz w:val="32"/>
          <w:szCs w:val="32"/>
        </w:rPr>
      </w:pPr>
      <w:r>
        <w:rPr>
          <w:rFonts w:ascii="Times New Roman" w:eastAsia="方正小标宋简体" w:hAnsi="Times New Roman" w:cs="Times New Roman"/>
          <w:kern w:val="0"/>
          <w:sz w:val="32"/>
          <w:szCs w:val="32"/>
        </w:rPr>
        <w:t>专业名词解释</w:t>
      </w:r>
    </w:p>
    <w:p w14:paraId="21D4F46A" w14:textId="77777777" w:rsidR="00461755" w:rsidRDefault="00461755">
      <w:pPr>
        <w:widowControl/>
        <w:ind w:firstLineChars="800" w:firstLine="2560"/>
        <w:rPr>
          <w:rFonts w:ascii="Times New Roman" w:eastAsia="方正小标宋简体" w:hAnsi="Times New Roman" w:cs="Times New Roman"/>
          <w:kern w:val="0"/>
          <w:sz w:val="32"/>
          <w:szCs w:val="32"/>
        </w:rPr>
      </w:pPr>
    </w:p>
    <w:p w14:paraId="01B15BC8" w14:textId="77777777" w:rsidR="00461755" w:rsidRDefault="00B3769C">
      <w:pPr>
        <w:widowControl/>
        <w:ind w:firstLineChars="800" w:firstLine="2560"/>
        <w:rPr>
          <w:rFonts w:ascii="Times New Roman" w:eastAsia="方正小标宋简体" w:hAnsi="Times New Roman" w:cs="Times New Roman"/>
          <w:kern w:val="0"/>
          <w:sz w:val="32"/>
          <w:szCs w:val="32"/>
        </w:rPr>
      </w:pPr>
      <w:r>
        <w:rPr>
          <w:rFonts w:ascii="Times New Roman" w:eastAsia="方正小标宋简体" w:hAnsi="Times New Roman" w:cs="Times New Roman" w:hint="eastAsia"/>
          <w:kern w:val="0"/>
          <w:sz w:val="32"/>
          <w:szCs w:val="32"/>
        </w:rPr>
        <w:t>第五部分</w:t>
      </w:r>
      <w:r>
        <w:rPr>
          <w:rFonts w:ascii="Times New Roman" w:eastAsia="方正小标宋简体" w:hAnsi="Times New Roman" w:cs="Times New Roman" w:hint="eastAsia"/>
          <w:kern w:val="0"/>
          <w:sz w:val="32"/>
          <w:szCs w:val="32"/>
        </w:rPr>
        <w:t xml:space="preserve">  </w:t>
      </w:r>
      <w:r>
        <w:rPr>
          <w:rFonts w:ascii="Times New Roman" w:eastAsia="方正小标宋简体" w:hAnsi="Times New Roman" w:cs="Times New Roman" w:hint="eastAsia"/>
          <w:kern w:val="0"/>
          <w:sz w:val="32"/>
          <w:szCs w:val="32"/>
        </w:rPr>
        <w:t>附件</w:t>
      </w:r>
    </w:p>
    <w:p w14:paraId="0C1AAFE5" w14:textId="77777777" w:rsidR="00461755" w:rsidRDefault="00461755">
      <w:pPr>
        <w:widowControl/>
        <w:jc w:val="center"/>
        <w:rPr>
          <w:rFonts w:ascii="Times New Roman" w:eastAsia="方正小标宋简体" w:hAnsi="Times New Roman" w:cs="Times New Roman"/>
          <w:kern w:val="0"/>
          <w:sz w:val="32"/>
          <w:szCs w:val="32"/>
        </w:rPr>
      </w:pPr>
    </w:p>
    <w:p w14:paraId="76DAAC6C" w14:textId="77777777" w:rsidR="00461755" w:rsidRDefault="00461755">
      <w:pPr>
        <w:widowControl/>
        <w:jc w:val="center"/>
        <w:rPr>
          <w:rFonts w:ascii="Times New Roman" w:eastAsia="方正小标宋简体" w:hAnsi="Times New Roman" w:cs="Times New Roman"/>
          <w:kern w:val="0"/>
          <w:sz w:val="32"/>
          <w:szCs w:val="32"/>
        </w:rPr>
      </w:pPr>
    </w:p>
    <w:p w14:paraId="3E159FF7" w14:textId="77777777" w:rsidR="00461755" w:rsidRDefault="00B3769C">
      <w:pPr>
        <w:widowControl/>
        <w:jc w:val="center"/>
        <w:rPr>
          <w:rFonts w:ascii="Times New Roman" w:eastAsia="方正小标宋简体" w:hAnsi="Times New Roman" w:cs="Times New Roman"/>
          <w:kern w:val="0"/>
          <w:sz w:val="44"/>
          <w:szCs w:val="44"/>
        </w:rPr>
      </w:pPr>
      <w:r>
        <w:rPr>
          <w:rFonts w:ascii="Times New Roman" w:eastAsia="仿宋" w:hAnsi="Times New Roman" w:cs="Times New Roman"/>
          <w:iCs/>
          <w:kern w:val="0"/>
          <w:sz w:val="32"/>
          <w:szCs w:val="32"/>
          <w:highlight w:val="cyan"/>
        </w:rPr>
        <w:br w:type="page"/>
      </w:r>
      <w:r>
        <w:rPr>
          <w:rFonts w:ascii="Times New Roman" w:eastAsia="方正小标宋简体" w:hAnsi="Times New Roman" w:cs="Times New Roman"/>
          <w:kern w:val="0"/>
          <w:sz w:val="44"/>
          <w:szCs w:val="44"/>
        </w:rPr>
        <w:lastRenderedPageBreak/>
        <w:t>第一部分</w:t>
      </w:r>
      <w:r>
        <w:rPr>
          <w:rFonts w:ascii="Times New Roman" w:eastAsia="方正小标宋简体" w:hAnsi="Times New Roman" w:cs="Times New Roman"/>
          <w:kern w:val="0"/>
          <w:sz w:val="44"/>
          <w:szCs w:val="44"/>
        </w:rPr>
        <w:t xml:space="preserve"> </w:t>
      </w:r>
      <w:r>
        <w:rPr>
          <w:rFonts w:ascii="Times New Roman" w:eastAsia="方正小标宋简体" w:hAnsi="Times New Roman" w:cs="Times New Roman"/>
          <w:kern w:val="0"/>
          <w:sz w:val="44"/>
          <w:szCs w:val="44"/>
        </w:rPr>
        <w:t>部门（单位）概况</w:t>
      </w:r>
    </w:p>
    <w:p w14:paraId="5EA69148" w14:textId="77777777" w:rsidR="00461755" w:rsidRDefault="00461755">
      <w:pPr>
        <w:jc w:val="center"/>
        <w:rPr>
          <w:rFonts w:ascii="Times New Roman" w:eastAsia="方正小标宋简体" w:hAnsi="Times New Roman" w:cs="Times New Roman"/>
          <w:kern w:val="0"/>
          <w:sz w:val="44"/>
          <w:szCs w:val="44"/>
        </w:rPr>
      </w:pPr>
    </w:p>
    <w:p w14:paraId="37206D18" w14:textId="77777777" w:rsidR="00461755" w:rsidRDefault="00B3769C">
      <w:pPr>
        <w:rPr>
          <w:rFonts w:ascii="Times New Roman" w:eastAsia="黑体" w:hAnsi="Times New Roman" w:cs="Times New Roman"/>
          <w:kern w:val="0"/>
          <w:sz w:val="32"/>
          <w:szCs w:val="32"/>
        </w:rPr>
      </w:pPr>
      <w:r>
        <w:rPr>
          <w:rFonts w:ascii="Times New Roman" w:eastAsia="黑体" w:hAnsi="Times New Roman" w:cs="Times New Roman"/>
          <w:kern w:val="0"/>
          <w:sz w:val="32"/>
          <w:szCs w:val="32"/>
        </w:rPr>
        <w:t xml:space="preserve">    </w:t>
      </w:r>
      <w:r>
        <w:rPr>
          <w:rFonts w:ascii="Times New Roman" w:eastAsia="黑体" w:hAnsi="Times New Roman" w:cs="Times New Roman"/>
          <w:kern w:val="0"/>
          <w:sz w:val="32"/>
          <w:szCs w:val="32"/>
        </w:rPr>
        <w:t>一、部门（单位）主要职责及内设机构</w:t>
      </w:r>
    </w:p>
    <w:p w14:paraId="720607CF" w14:textId="77777777" w:rsidR="00461755" w:rsidRDefault="00B3769C">
      <w:pPr>
        <w:widowControl/>
        <w:ind w:firstLineChars="200" w:firstLine="640"/>
        <w:jc w:val="left"/>
        <w:rPr>
          <w:rFonts w:ascii="Times New Roman" w:eastAsia="楷体" w:hAnsi="Times New Roman" w:cs="Times New Roman"/>
          <w:kern w:val="0"/>
          <w:sz w:val="32"/>
          <w:szCs w:val="32"/>
        </w:rPr>
      </w:pPr>
      <w:r>
        <w:rPr>
          <w:rFonts w:ascii="Times New Roman" w:eastAsia="楷体" w:hAnsi="Times New Roman" w:cs="Times New Roman"/>
          <w:kern w:val="0"/>
          <w:sz w:val="32"/>
          <w:szCs w:val="32"/>
        </w:rPr>
        <w:t>（一）主要职责</w:t>
      </w:r>
    </w:p>
    <w:p w14:paraId="6C668516" w14:textId="77777777" w:rsidR="00461755" w:rsidRDefault="00B3769C">
      <w:pPr>
        <w:widowControl/>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根据《中共汉中市委办公室汉中市人民政府办公室关于印发</w:t>
      </w:r>
      <w:r>
        <w:rPr>
          <w:rFonts w:ascii="Times New Roman" w:eastAsia="仿宋_GB2312" w:hAnsi="Times New Roman" w:cs="Times New Roman"/>
          <w:sz w:val="32"/>
          <w:szCs w:val="32"/>
        </w:rPr>
        <w:t xml:space="preserve"> &lt;</w:t>
      </w:r>
      <w:r>
        <w:rPr>
          <w:rFonts w:ascii="Times New Roman" w:eastAsia="仿宋_GB2312" w:hAnsi="Times New Roman" w:cs="Times New Roman"/>
          <w:sz w:val="32"/>
          <w:szCs w:val="32"/>
        </w:rPr>
        <w:t>汉中市发展和改革委员会职能配置内设机构和人员编制规定</w:t>
      </w:r>
      <w:r>
        <w:rPr>
          <w:rFonts w:ascii="Times New Roman" w:eastAsia="仿宋_GB2312" w:hAnsi="Times New Roman" w:cs="Times New Roman"/>
          <w:sz w:val="32"/>
          <w:szCs w:val="32"/>
        </w:rPr>
        <w:t xml:space="preserve">&gt; </w:t>
      </w:r>
      <w:r>
        <w:rPr>
          <w:rFonts w:ascii="Times New Roman" w:eastAsia="仿宋_GB2312" w:hAnsi="Times New Roman" w:cs="Times New Roman"/>
          <w:sz w:val="32"/>
          <w:szCs w:val="32"/>
        </w:rPr>
        <w:t>的通知》（汉办字〔</w:t>
      </w:r>
      <w:r>
        <w:rPr>
          <w:rFonts w:ascii="Times New Roman" w:eastAsia="仿宋_GB2312" w:hAnsi="Times New Roman" w:cs="Times New Roman"/>
          <w:sz w:val="32"/>
          <w:szCs w:val="32"/>
        </w:rPr>
        <w:t>2019</w:t>
      </w:r>
      <w:r>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109 </w:t>
      </w:r>
      <w:r>
        <w:rPr>
          <w:rFonts w:ascii="Times New Roman" w:eastAsia="仿宋_GB2312" w:hAnsi="Times New Roman" w:cs="Times New Roman"/>
          <w:sz w:val="32"/>
          <w:szCs w:val="32"/>
        </w:rPr>
        <w:t>号）（保密文件），市发展改革委主要职责涉密不予公开。</w:t>
      </w:r>
    </w:p>
    <w:p w14:paraId="340C849E" w14:textId="77777777" w:rsidR="00461755" w:rsidRDefault="00B3769C">
      <w:pPr>
        <w:widowControl/>
        <w:ind w:firstLineChars="200" w:firstLine="640"/>
        <w:jc w:val="left"/>
        <w:rPr>
          <w:rFonts w:ascii="Times New Roman" w:eastAsia="楷体" w:hAnsi="Times New Roman" w:cs="Times New Roman"/>
          <w:kern w:val="0"/>
          <w:sz w:val="32"/>
          <w:szCs w:val="32"/>
        </w:rPr>
      </w:pPr>
      <w:r>
        <w:rPr>
          <w:rFonts w:ascii="Times New Roman" w:eastAsia="楷体" w:hAnsi="Times New Roman" w:cs="Times New Roman"/>
          <w:kern w:val="0"/>
          <w:sz w:val="32"/>
          <w:szCs w:val="32"/>
        </w:rPr>
        <w:t>（二）内设机构</w:t>
      </w:r>
    </w:p>
    <w:p w14:paraId="5F488354" w14:textId="77777777" w:rsidR="00461755" w:rsidRDefault="00B3769C">
      <w:pPr>
        <w:widowControl/>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根据《中共汉中市委办公室汉中市人民政府办公室关于印发</w:t>
      </w:r>
      <w:r>
        <w:rPr>
          <w:rFonts w:ascii="Times New Roman" w:eastAsia="仿宋_GB2312" w:hAnsi="Times New Roman" w:cs="Times New Roman"/>
          <w:sz w:val="32"/>
          <w:szCs w:val="32"/>
        </w:rPr>
        <w:t xml:space="preserve"> &lt;</w:t>
      </w:r>
      <w:r>
        <w:rPr>
          <w:rFonts w:ascii="Times New Roman" w:eastAsia="仿宋_GB2312" w:hAnsi="Times New Roman" w:cs="Times New Roman"/>
          <w:sz w:val="32"/>
          <w:szCs w:val="32"/>
        </w:rPr>
        <w:t>汉中市发展和改革委员会职能配置内设机构和人员编制规定</w:t>
      </w:r>
      <w:r>
        <w:rPr>
          <w:rFonts w:ascii="Times New Roman" w:eastAsia="仿宋_GB2312" w:hAnsi="Times New Roman" w:cs="Times New Roman"/>
          <w:sz w:val="32"/>
          <w:szCs w:val="32"/>
        </w:rPr>
        <w:t xml:space="preserve">&gt; </w:t>
      </w:r>
      <w:r>
        <w:rPr>
          <w:rFonts w:ascii="Times New Roman" w:eastAsia="仿宋_GB2312" w:hAnsi="Times New Roman" w:cs="Times New Roman"/>
          <w:sz w:val="32"/>
          <w:szCs w:val="32"/>
        </w:rPr>
        <w:t>的通知》（汉办字〔</w:t>
      </w:r>
      <w:r>
        <w:rPr>
          <w:rFonts w:ascii="Times New Roman" w:eastAsia="仿宋_GB2312" w:hAnsi="Times New Roman" w:cs="Times New Roman"/>
          <w:sz w:val="32"/>
          <w:szCs w:val="32"/>
        </w:rPr>
        <w:t>2019</w:t>
      </w:r>
      <w:r>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109 </w:t>
      </w:r>
      <w:r>
        <w:rPr>
          <w:rFonts w:ascii="Times New Roman" w:eastAsia="仿宋_GB2312" w:hAnsi="Times New Roman" w:cs="Times New Roman"/>
          <w:sz w:val="32"/>
          <w:szCs w:val="32"/>
        </w:rPr>
        <w:t>号）（保密文件），市发展改革委内设机构涉密不予公开。</w:t>
      </w:r>
    </w:p>
    <w:p w14:paraId="7BE316DD" w14:textId="77777777" w:rsidR="00461755" w:rsidRDefault="00B3769C">
      <w:pPr>
        <w:widowControl/>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（三）工作亮点及成效</w:t>
      </w:r>
    </w:p>
    <w:p w14:paraId="51F104F6" w14:textId="77777777" w:rsidR="00461755" w:rsidRDefault="00B3769C">
      <w:pPr>
        <w:widowControl/>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年，汉中市发展和改革委员会在长远大事、改革难事、发展要事、民生实事上主动担当、积极作为，成效显著。经济运行逐季回升至超额完成，生产总值增长</w:t>
      </w:r>
      <w:r>
        <w:rPr>
          <w:rFonts w:ascii="Times New Roman" w:eastAsia="仿宋_GB2312" w:hAnsi="Times New Roman" w:cs="Times New Roman"/>
          <w:sz w:val="32"/>
          <w:szCs w:val="32"/>
        </w:rPr>
        <w:t xml:space="preserve"> 6.2%</w:t>
      </w:r>
      <w:r>
        <w:rPr>
          <w:rFonts w:ascii="Times New Roman" w:eastAsia="仿宋_GB2312" w:hAnsi="Times New Roman" w:cs="Times New Roman"/>
          <w:sz w:val="32"/>
          <w:szCs w:val="32"/>
        </w:rPr>
        <w:t>（高于全省</w:t>
      </w:r>
      <w:r>
        <w:rPr>
          <w:rFonts w:ascii="Times New Roman" w:eastAsia="仿宋_GB2312" w:hAnsi="Times New Roman" w:cs="Times New Roman"/>
          <w:sz w:val="32"/>
          <w:szCs w:val="32"/>
        </w:rPr>
        <w:t xml:space="preserve"> 0.9 </w:t>
      </w:r>
      <w:r>
        <w:rPr>
          <w:rFonts w:ascii="Times New Roman" w:eastAsia="仿宋_GB2312" w:hAnsi="Times New Roman" w:cs="Times New Roman"/>
          <w:sz w:val="32"/>
          <w:szCs w:val="32"/>
        </w:rPr>
        <w:t>个百分点），主要经济指标居全省第一方阵，新培育</w:t>
      </w:r>
      <w:r>
        <w:rPr>
          <w:rFonts w:ascii="Times New Roman" w:eastAsia="仿宋_GB2312" w:hAnsi="Times New Roman" w:cs="Times New Roman"/>
          <w:sz w:val="32"/>
          <w:szCs w:val="32"/>
        </w:rPr>
        <w:t xml:space="preserve"> 1 </w:t>
      </w:r>
      <w:r>
        <w:rPr>
          <w:rFonts w:ascii="Times New Roman" w:eastAsia="仿宋_GB2312" w:hAnsi="Times New Roman" w:cs="Times New Roman"/>
          <w:sz w:val="32"/>
          <w:szCs w:val="32"/>
        </w:rPr>
        <w:t>个国家先进制造业集群、</w:t>
      </w:r>
      <w:r>
        <w:rPr>
          <w:rFonts w:ascii="Times New Roman" w:eastAsia="仿宋_GB2312" w:hAnsi="Times New Roman" w:cs="Times New Roman"/>
          <w:sz w:val="32"/>
          <w:szCs w:val="32"/>
        </w:rPr>
        <w:t xml:space="preserve">4 </w:t>
      </w:r>
      <w:r>
        <w:rPr>
          <w:rFonts w:ascii="Times New Roman" w:eastAsia="仿宋_GB2312" w:hAnsi="Times New Roman" w:cs="Times New Roman"/>
          <w:sz w:val="32"/>
          <w:szCs w:val="32"/>
        </w:rPr>
        <w:t>个省级中小企业特色产业集群，谋划储备重点项目投资达</w:t>
      </w:r>
      <w:r>
        <w:rPr>
          <w:rFonts w:ascii="Times New Roman" w:eastAsia="仿宋_GB2312" w:hAnsi="Times New Roman" w:cs="Times New Roman"/>
          <w:sz w:val="32"/>
          <w:szCs w:val="32"/>
        </w:rPr>
        <w:t xml:space="preserve"> 1.02 </w:t>
      </w:r>
      <w:r>
        <w:rPr>
          <w:rFonts w:ascii="Times New Roman" w:eastAsia="仿宋_GB2312" w:hAnsi="Times New Roman" w:cs="Times New Roman"/>
          <w:sz w:val="32"/>
          <w:szCs w:val="32"/>
        </w:rPr>
        <w:t>万亿，汉巴汉安十高铁等纳入国家规划推荐；营商环境满意度全省第</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lastRenderedPageBreak/>
        <w:t>2</w:t>
      </w:r>
      <w:r>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3 </w:t>
      </w:r>
      <w:r>
        <w:rPr>
          <w:rFonts w:ascii="Times New Roman" w:eastAsia="仿宋_GB2312" w:hAnsi="Times New Roman" w:cs="Times New Roman"/>
          <w:sz w:val="32"/>
          <w:szCs w:val="32"/>
        </w:rPr>
        <w:t>项经验入省白皮书，</w:t>
      </w:r>
      <w:r>
        <w:rPr>
          <w:rFonts w:ascii="Times New Roman" w:eastAsia="仿宋_GB2312" w:hAnsi="Times New Roman" w:cs="Times New Roman"/>
          <w:sz w:val="32"/>
          <w:szCs w:val="32"/>
        </w:rPr>
        <w:t xml:space="preserve">11 </w:t>
      </w:r>
      <w:r>
        <w:rPr>
          <w:rFonts w:ascii="Times New Roman" w:eastAsia="仿宋_GB2312" w:hAnsi="Times New Roman" w:cs="Times New Roman"/>
          <w:sz w:val="32"/>
          <w:szCs w:val="32"/>
        </w:rPr>
        <w:t>个领域碳达峰方案出台，清洁能源总装机</w:t>
      </w:r>
      <w:r>
        <w:rPr>
          <w:rFonts w:ascii="Times New Roman" w:eastAsia="仿宋_GB2312" w:hAnsi="Times New Roman" w:cs="Times New Roman"/>
          <w:sz w:val="32"/>
          <w:szCs w:val="32"/>
        </w:rPr>
        <w:t xml:space="preserve"> 144.9 </w:t>
      </w:r>
      <w:r>
        <w:rPr>
          <w:rFonts w:ascii="Times New Roman" w:eastAsia="仿宋_GB2312" w:hAnsi="Times New Roman" w:cs="Times New Roman"/>
          <w:sz w:val="32"/>
          <w:szCs w:val="32"/>
        </w:rPr>
        <w:t>万千瓦，县域经济考核连续三年全省前列，</w:t>
      </w:r>
      <w:r>
        <w:rPr>
          <w:rFonts w:ascii="Times New Roman" w:eastAsia="仿宋_GB2312" w:hAnsi="Times New Roman" w:cs="Times New Roman"/>
          <w:sz w:val="32"/>
          <w:szCs w:val="32"/>
        </w:rPr>
        <w:t xml:space="preserve">2 </w:t>
      </w:r>
      <w:r>
        <w:rPr>
          <w:rFonts w:ascii="Times New Roman" w:eastAsia="仿宋_GB2312" w:hAnsi="Times New Roman" w:cs="Times New Roman"/>
          <w:sz w:val="32"/>
          <w:szCs w:val="32"/>
        </w:rPr>
        <w:t>个改革案例分别入选全国、全省优秀案例；争取政策性资金</w:t>
      </w:r>
      <w:r>
        <w:rPr>
          <w:rFonts w:ascii="Times New Roman" w:eastAsia="仿宋_GB2312" w:hAnsi="Times New Roman" w:cs="Times New Roman"/>
          <w:sz w:val="32"/>
          <w:szCs w:val="32"/>
        </w:rPr>
        <w:t xml:space="preserve"> 53.3 </w:t>
      </w:r>
      <w:r>
        <w:rPr>
          <w:rFonts w:ascii="Times New Roman" w:eastAsia="仿宋_GB2312" w:hAnsi="Times New Roman" w:cs="Times New Roman"/>
          <w:sz w:val="32"/>
          <w:szCs w:val="32"/>
        </w:rPr>
        <w:t>亿元、外资外贷</w:t>
      </w:r>
      <w:r>
        <w:rPr>
          <w:rFonts w:ascii="Times New Roman" w:eastAsia="仿宋_GB2312" w:hAnsi="Times New Roman" w:cs="Times New Roman"/>
          <w:sz w:val="32"/>
          <w:szCs w:val="32"/>
        </w:rPr>
        <w:t xml:space="preserve"> 4746 </w:t>
      </w:r>
      <w:r>
        <w:rPr>
          <w:rFonts w:ascii="Times New Roman" w:eastAsia="仿宋_GB2312" w:hAnsi="Times New Roman" w:cs="Times New Roman"/>
          <w:sz w:val="32"/>
          <w:szCs w:val="32"/>
        </w:rPr>
        <w:t>万欧元，重点项目完成投资</w:t>
      </w:r>
      <w:r>
        <w:rPr>
          <w:rFonts w:ascii="Times New Roman" w:eastAsia="仿宋_GB2312" w:hAnsi="Times New Roman" w:cs="Times New Roman"/>
          <w:sz w:val="32"/>
          <w:szCs w:val="32"/>
        </w:rPr>
        <w:t xml:space="preserve"> 618 </w:t>
      </w:r>
      <w:r>
        <w:rPr>
          <w:rFonts w:ascii="Times New Roman" w:eastAsia="仿宋_GB2312" w:hAnsi="Times New Roman" w:cs="Times New Roman"/>
          <w:sz w:val="32"/>
          <w:szCs w:val="32"/>
        </w:rPr>
        <w:t>亿元（带动固投增</w:t>
      </w:r>
      <w:r>
        <w:rPr>
          <w:rFonts w:ascii="Times New Roman" w:eastAsia="仿宋_GB2312" w:hAnsi="Times New Roman" w:cs="Times New Roman"/>
          <w:sz w:val="32"/>
          <w:szCs w:val="32"/>
        </w:rPr>
        <w:t xml:space="preserve"> 11.7%</w:t>
      </w:r>
      <w:r>
        <w:rPr>
          <w:rFonts w:ascii="Times New Roman" w:eastAsia="仿宋_GB2312" w:hAnsi="Times New Roman" w:cs="Times New Roman"/>
          <w:sz w:val="32"/>
          <w:szCs w:val="32"/>
        </w:rPr>
        <w:t>、居全省第</w:t>
      </w:r>
      <w:r>
        <w:rPr>
          <w:rFonts w:ascii="Times New Roman" w:eastAsia="仿宋_GB2312" w:hAnsi="Times New Roman" w:cs="Times New Roman"/>
          <w:sz w:val="32"/>
          <w:szCs w:val="32"/>
        </w:rPr>
        <w:t xml:space="preserve"> 2</w:t>
      </w:r>
      <w:r>
        <w:rPr>
          <w:rFonts w:ascii="Times New Roman" w:eastAsia="仿宋_GB2312" w:hAnsi="Times New Roman" w:cs="Times New Roman"/>
          <w:sz w:val="32"/>
          <w:szCs w:val="32"/>
        </w:rPr>
        <w:t>），新增</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五上</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企业</w:t>
      </w:r>
      <w:r>
        <w:rPr>
          <w:rFonts w:ascii="Times New Roman" w:eastAsia="仿宋_GB2312" w:hAnsi="Times New Roman" w:cs="Times New Roman"/>
          <w:sz w:val="32"/>
          <w:szCs w:val="32"/>
        </w:rPr>
        <w:t xml:space="preserve"> 268 </w:t>
      </w:r>
      <w:r>
        <w:rPr>
          <w:rFonts w:ascii="Times New Roman" w:eastAsia="仿宋_GB2312" w:hAnsi="Times New Roman" w:cs="Times New Roman"/>
          <w:sz w:val="32"/>
          <w:szCs w:val="32"/>
        </w:rPr>
        <w:t>户，获苏陕津陕协作资金</w:t>
      </w:r>
      <w:r>
        <w:rPr>
          <w:rFonts w:ascii="Times New Roman" w:eastAsia="仿宋_GB2312" w:hAnsi="Times New Roman" w:cs="Times New Roman"/>
          <w:sz w:val="32"/>
          <w:szCs w:val="32"/>
        </w:rPr>
        <w:t xml:space="preserve"> 6.06 </w:t>
      </w:r>
      <w:r>
        <w:rPr>
          <w:rFonts w:ascii="Times New Roman" w:eastAsia="仿宋_GB2312" w:hAnsi="Times New Roman" w:cs="Times New Roman"/>
          <w:sz w:val="32"/>
          <w:szCs w:val="32"/>
        </w:rPr>
        <w:t>亿元、引企</w:t>
      </w:r>
      <w:r>
        <w:rPr>
          <w:rFonts w:ascii="Times New Roman" w:eastAsia="仿宋_GB2312" w:hAnsi="Times New Roman" w:cs="Times New Roman"/>
          <w:sz w:val="32"/>
          <w:szCs w:val="32"/>
        </w:rPr>
        <w:t xml:space="preserve"> 52 </w:t>
      </w:r>
      <w:r>
        <w:rPr>
          <w:rFonts w:ascii="Times New Roman" w:eastAsia="仿宋_GB2312" w:hAnsi="Times New Roman" w:cs="Times New Roman"/>
          <w:sz w:val="32"/>
          <w:szCs w:val="32"/>
        </w:rPr>
        <w:t>家，</w:t>
      </w:r>
      <w:r>
        <w:rPr>
          <w:rFonts w:ascii="Times New Roman" w:eastAsia="仿宋_GB2312" w:hAnsi="Times New Roman" w:cs="Times New Roman"/>
          <w:sz w:val="32"/>
          <w:szCs w:val="32"/>
        </w:rPr>
        <w:t xml:space="preserve">3 </w:t>
      </w:r>
      <w:r>
        <w:rPr>
          <w:rFonts w:ascii="Times New Roman" w:eastAsia="仿宋_GB2312" w:hAnsi="Times New Roman" w:cs="Times New Roman"/>
          <w:sz w:val="32"/>
          <w:szCs w:val="32"/>
        </w:rPr>
        <w:t>个省级农村产业融合示范园实现县域全覆盖；居民人均可支配收入增速连续四季度全省第一，儿童友好城市建设为全省唯一国家推荐申报市，充电设施镇办全覆盖（西部地级市率先），粮食监管信息化全省率先全覆盖，核减水电气等定价成本</w:t>
      </w:r>
      <w:r>
        <w:rPr>
          <w:rFonts w:ascii="Times New Roman" w:eastAsia="仿宋_GB2312" w:hAnsi="Times New Roman" w:cs="Times New Roman"/>
          <w:sz w:val="32"/>
          <w:szCs w:val="32"/>
        </w:rPr>
        <w:t xml:space="preserve"> 1.7 </w:t>
      </w:r>
      <w:r>
        <w:rPr>
          <w:rFonts w:ascii="Times New Roman" w:eastAsia="仿宋_GB2312" w:hAnsi="Times New Roman" w:cs="Times New Roman"/>
          <w:sz w:val="32"/>
          <w:szCs w:val="32"/>
        </w:rPr>
        <w:t>亿元，协调气源</w:t>
      </w:r>
      <w:r>
        <w:rPr>
          <w:rFonts w:ascii="Times New Roman" w:eastAsia="仿宋_GB2312" w:hAnsi="Times New Roman" w:cs="Times New Roman"/>
          <w:sz w:val="32"/>
          <w:szCs w:val="32"/>
        </w:rPr>
        <w:t xml:space="preserve"> 2.26 </w:t>
      </w:r>
      <w:r>
        <w:rPr>
          <w:rFonts w:ascii="Times New Roman" w:eastAsia="仿宋_GB2312" w:hAnsi="Times New Roman" w:cs="Times New Roman"/>
          <w:sz w:val="32"/>
          <w:szCs w:val="32"/>
        </w:rPr>
        <w:t>亿方，同时易地搬迁后续扶持、安全生产等工作均有新成效，财政资金高效赋能发展与民生改善。</w:t>
      </w:r>
    </w:p>
    <w:p w14:paraId="265821C4" w14:textId="77777777" w:rsidR="00461755" w:rsidRDefault="00B3769C">
      <w:pPr>
        <w:widowControl/>
        <w:ind w:firstLineChars="200" w:firstLine="640"/>
        <w:jc w:val="left"/>
        <w:rPr>
          <w:rFonts w:ascii="Times New Roman" w:eastAsia="黑体" w:hAnsi="Times New Roman" w:cs="Times New Roman"/>
          <w:kern w:val="0"/>
          <w:sz w:val="32"/>
          <w:szCs w:val="32"/>
        </w:rPr>
      </w:pPr>
      <w:r>
        <w:rPr>
          <w:rFonts w:ascii="Times New Roman" w:eastAsia="黑体" w:hAnsi="Times New Roman" w:cs="Times New Roman"/>
          <w:kern w:val="0"/>
          <w:sz w:val="32"/>
          <w:szCs w:val="32"/>
        </w:rPr>
        <w:t>二、部门决算单位构成</w:t>
      </w:r>
    </w:p>
    <w:p w14:paraId="1E143239" w14:textId="77777777" w:rsidR="00461755" w:rsidRDefault="00B3769C">
      <w:pPr>
        <w:ind w:firstLineChars="200" w:firstLine="640"/>
        <w:rPr>
          <w:rFonts w:ascii="Times New Roman" w:eastAsia="黑体" w:hAnsi="Times New Roman" w:cs="Times New Roman"/>
          <w:sz w:val="32"/>
          <w:szCs w:val="32"/>
        </w:rPr>
      </w:pPr>
      <w:r>
        <w:rPr>
          <w:rFonts w:ascii="Times New Roman" w:eastAsia="仿宋" w:hAnsi="Times New Roman" w:cs="Times New Roman"/>
          <w:sz w:val="32"/>
          <w:szCs w:val="32"/>
        </w:rPr>
        <w:t>本单位作为汉中市发展和改革委员会二级</w:t>
      </w:r>
      <w:r>
        <w:rPr>
          <w:rFonts w:ascii="Times New Roman" w:eastAsia="仿宋_GB2312" w:hAnsi="Times New Roman" w:cs="Times New Roman"/>
          <w:sz w:val="32"/>
          <w:szCs w:val="32"/>
        </w:rPr>
        <w:t>预算单位，编制</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年度部门决算。</w:t>
      </w:r>
    </w:p>
    <w:p w14:paraId="07D77C44" w14:textId="77777777" w:rsidR="00461755" w:rsidRDefault="00B3769C">
      <w:pPr>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w:t>
      </w:r>
      <w:r>
        <w:rPr>
          <w:rFonts w:ascii="Times New Roman" w:eastAsia="黑体" w:hAnsi="Times New Roman" w:cs="Times New Roman"/>
          <w:kern w:val="0"/>
          <w:sz w:val="32"/>
          <w:szCs w:val="32"/>
        </w:rPr>
        <w:t>单位</w:t>
      </w:r>
      <w:r>
        <w:rPr>
          <w:rFonts w:ascii="Times New Roman" w:eastAsia="黑体" w:hAnsi="Times New Roman" w:cs="Times New Roman"/>
          <w:sz w:val="32"/>
          <w:szCs w:val="32"/>
        </w:rPr>
        <w:t>人员情况</w:t>
      </w:r>
    </w:p>
    <w:p w14:paraId="70C70216" w14:textId="77777777" w:rsidR="00461755" w:rsidRDefault="00B3769C">
      <w:pPr>
        <w:widowControl/>
        <w:ind w:firstLine="640"/>
        <w:jc w:val="left"/>
        <w:rPr>
          <w:rFonts w:ascii="Times New Roman" w:eastAsia="楷体" w:hAnsi="Times New Roman" w:cs="Times New Roman"/>
          <w:iCs/>
          <w:kern w:val="0"/>
          <w:sz w:val="32"/>
          <w:szCs w:val="32"/>
          <w:highlight w:val="cyan"/>
        </w:rPr>
      </w:pPr>
      <w:r>
        <w:rPr>
          <w:rFonts w:ascii="Times New Roman" w:eastAsia="仿宋_GB2312" w:hAnsi="Times New Roman" w:cs="Times New Roman"/>
          <w:sz w:val="32"/>
          <w:szCs w:val="32"/>
        </w:rPr>
        <w:t>根据《中共汉中市委办公室汉中市人民政府办公室关于印发</w:t>
      </w:r>
      <w:r>
        <w:rPr>
          <w:rFonts w:ascii="Times New Roman" w:eastAsia="仿宋_GB2312" w:hAnsi="Times New Roman" w:cs="Times New Roman"/>
          <w:sz w:val="32"/>
          <w:szCs w:val="32"/>
        </w:rPr>
        <w:t xml:space="preserve"> &lt;</w:t>
      </w:r>
      <w:r>
        <w:rPr>
          <w:rFonts w:ascii="Times New Roman" w:eastAsia="仿宋_GB2312" w:hAnsi="Times New Roman" w:cs="Times New Roman"/>
          <w:sz w:val="32"/>
          <w:szCs w:val="32"/>
        </w:rPr>
        <w:t>汉中市发展和改革委员会职能配置内设机构和人员编制规定</w:t>
      </w:r>
      <w:r>
        <w:rPr>
          <w:rFonts w:ascii="Times New Roman" w:eastAsia="仿宋_GB2312" w:hAnsi="Times New Roman" w:cs="Times New Roman"/>
          <w:sz w:val="32"/>
          <w:szCs w:val="32"/>
        </w:rPr>
        <w:t xml:space="preserve">&gt; </w:t>
      </w:r>
      <w:r>
        <w:rPr>
          <w:rFonts w:ascii="Times New Roman" w:eastAsia="仿宋_GB2312" w:hAnsi="Times New Roman" w:cs="Times New Roman"/>
          <w:sz w:val="32"/>
          <w:szCs w:val="32"/>
        </w:rPr>
        <w:t>的通知》（汉办字〔</w:t>
      </w:r>
      <w:r>
        <w:rPr>
          <w:rFonts w:ascii="Times New Roman" w:eastAsia="仿宋_GB2312" w:hAnsi="Times New Roman" w:cs="Times New Roman"/>
          <w:sz w:val="32"/>
          <w:szCs w:val="32"/>
        </w:rPr>
        <w:t>2019</w:t>
      </w:r>
      <w:r>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109 </w:t>
      </w:r>
      <w:r>
        <w:rPr>
          <w:rFonts w:ascii="Times New Roman" w:eastAsia="仿宋_GB2312" w:hAnsi="Times New Roman" w:cs="Times New Roman"/>
          <w:sz w:val="32"/>
          <w:szCs w:val="32"/>
        </w:rPr>
        <w:t>号）（保密文件），市发展改革委人员编制涉密不予公开。截至</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lastRenderedPageBreak/>
        <w:t>年底，本单位实有人员</w:t>
      </w:r>
      <w:r>
        <w:rPr>
          <w:rFonts w:ascii="Times New Roman" w:eastAsia="仿宋_GB2312" w:hAnsi="Times New Roman" w:cs="Times New Roman"/>
          <w:sz w:val="32"/>
          <w:szCs w:val="32"/>
        </w:rPr>
        <w:t>106</w:t>
      </w:r>
      <w:r>
        <w:rPr>
          <w:rFonts w:ascii="Times New Roman" w:eastAsia="仿宋_GB2312" w:hAnsi="Times New Roman" w:cs="Times New Roman"/>
          <w:sz w:val="32"/>
          <w:szCs w:val="32"/>
        </w:rPr>
        <w:t>人，其中行政</w:t>
      </w:r>
      <w:r>
        <w:rPr>
          <w:rFonts w:ascii="Times New Roman" w:eastAsia="仿宋_GB2312" w:hAnsi="Times New Roman" w:cs="Times New Roman"/>
          <w:sz w:val="32"/>
          <w:szCs w:val="32"/>
        </w:rPr>
        <w:t>76</w:t>
      </w:r>
      <w:r>
        <w:rPr>
          <w:rFonts w:ascii="Times New Roman" w:eastAsia="仿宋_GB2312" w:hAnsi="Times New Roman" w:cs="Times New Roman"/>
          <w:sz w:val="32"/>
          <w:szCs w:val="32"/>
        </w:rPr>
        <w:t>人、事业</w:t>
      </w:r>
      <w:r>
        <w:rPr>
          <w:rFonts w:ascii="Times New Roman" w:eastAsia="仿宋_GB2312" w:hAnsi="Times New Roman" w:cs="Times New Roman"/>
          <w:sz w:val="32"/>
          <w:szCs w:val="32"/>
        </w:rPr>
        <w:t>25</w:t>
      </w:r>
      <w:r>
        <w:rPr>
          <w:rFonts w:ascii="Times New Roman" w:eastAsia="仿宋_GB2312" w:hAnsi="Times New Roman" w:cs="Times New Roman"/>
          <w:sz w:val="32"/>
          <w:szCs w:val="32"/>
        </w:rPr>
        <w:t>人、工勤</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人。单位管理的离退休人员</w:t>
      </w:r>
      <w:r>
        <w:rPr>
          <w:rFonts w:ascii="Times New Roman" w:eastAsia="仿宋_GB2312" w:hAnsi="Times New Roman" w:cs="Times New Roman"/>
          <w:sz w:val="32"/>
          <w:szCs w:val="32"/>
        </w:rPr>
        <w:t>71</w:t>
      </w:r>
      <w:r>
        <w:rPr>
          <w:rFonts w:ascii="Times New Roman" w:eastAsia="仿宋_GB2312" w:hAnsi="Times New Roman" w:cs="Times New Roman"/>
          <w:sz w:val="32"/>
          <w:szCs w:val="32"/>
        </w:rPr>
        <w:t>人。</w:t>
      </w:r>
    </w:p>
    <w:p w14:paraId="1DA7E77A" w14:textId="77777777" w:rsidR="00461755" w:rsidRDefault="00B3769C">
      <w:pPr>
        <w:jc w:val="center"/>
        <w:rPr>
          <w:rFonts w:ascii="Times New Roman" w:eastAsia="方正小标宋简体" w:hAnsi="Times New Roman" w:cs="Times New Roman"/>
          <w:kern w:val="0"/>
          <w:sz w:val="44"/>
          <w:szCs w:val="44"/>
        </w:rPr>
      </w:pPr>
      <w:r>
        <w:rPr>
          <w:rFonts w:ascii="Times New Roman" w:eastAsia="楷体" w:hAnsi="Times New Roman" w:cs="Times New Roman"/>
          <w:iCs/>
          <w:noProof/>
          <w:kern w:val="0"/>
          <w:sz w:val="32"/>
          <w:szCs w:val="32"/>
        </w:rPr>
        <w:drawing>
          <wp:inline distT="0" distB="0" distL="0" distR="0" wp14:anchorId="43B9C642" wp14:editId="48F7B2DC">
            <wp:extent cx="4057650" cy="2143125"/>
            <wp:effectExtent l="0" t="0" r="0" b="0"/>
            <wp:docPr id="9" name="对象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D67F2EF" w14:textId="77777777" w:rsidR="00461755" w:rsidRDefault="00461755">
      <w:pPr>
        <w:jc w:val="center"/>
        <w:rPr>
          <w:rFonts w:ascii="Times New Roman" w:eastAsia="方正小标宋简体" w:hAnsi="Times New Roman" w:cs="Times New Roman"/>
          <w:kern w:val="0"/>
          <w:sz w:val="44"/>
          <w:szCs w:val="44"/>
        </w:rPr>
      </w:pPr>
    </w:p>
    <w:p w14:paraId="27DF9CD5" w14:textId="77777777" w:rsidR="00461755" w:rsidRDefault="00B3769C">
      <w:pPr>
        <w:jc w:val="center"/>
        <w:rPr>
          <w:rFonts w:ascii="Times New Roman" w:eastAsia="方正小标宋简体" w:hAnsi="Times New Roman" w:cs="Times New Roman"/>
          <w:kern w:val="0"/>
          <w:sz w:val="44"/>
          <w:szCs w:val="44"/>
        </w:rPr>
      </w:pPr>
      <w:r>
        <w:rPr>
          <w:rFonts w:ascii="Times New Roman" w:eastAsia="方正小标宋简体" w:hAnsi="Times New Roman" w:cs="Times New Roman"/>
          <w:kern w:val="0"/>
          <w:sz w:val="44"/>
          <w:szCs w:val="44"/>
        </w:rPr>
        <w:t>第二部分</w:t>
      </w:r>
      <w:r>
        <w:rPr>
          <w:rFonts w:ascii="Times New Roman" w:eastAsia="方正小标宋简体" w:hAnsi="Times New Roman" w:cs="Times New Roman"/>
          <w:kern w:val="0"/>
          <w:sz w:val="44"/>
          <w:szCs w:val="44"/>
        </w:rPr>
        <w:t xml:space="preserve"> 2024</w:t>
      </w:r>
      <w:r>
        <w:rPr>
          <w:rFonts w:ascii="Times New Roman" w:eastAsia="方正小标宋简体" w:hAnsi="Times New Roman" w:cs="Times New Roman"/>
          <w:kern w:val="0"/>
          <w:sz w:val="44"/>
          <w:szCs w:val="44"/>
        </w:rPr>
        <w:t>年度部门决算情况说明</w:t>
      </w:r>
    </w:p>
    <w:p w14:paraId="48906155" w14:textId="77777777" w:rsidR="00461755" w:rsidRDefault="00461755">
      <w:pPr>
        <w:widowControl/>
        <w:ind w:firstLineChars="200" w:firstLine="640"/>
        <w:jc w:val="left"/>
        <w:rPr>
          <w:rFonts w:ascii="Times New Roman" w:eastAsia="黑体" w:hAnsi="Times New Roman" w:cs="Times New Roman"/>
          <w:kern w:val="0"/>
          <w:sz w:val="32"/>
          <w:szCs w:val="32"/>
        </w:rPr>
      </w:pPr>
    </w:p>
    <w:p w14:paraId="65F2DE6E" w14:textId="77777777" w:rsidR="00461755" w:rsidRDefault="00B3769C">
      <w:pPr>
        <w:widowControl/>
        <w:ind w:firstLineChars="200" w:firstLine="640"/>
        <w:jc w:val="left"/>
        <w:rPr>
          <w:rFonts w:ascii="Times New Roman" w:eastAsia="楷体" w:hAnsi="Times New Roman" w:cs="Times New Roman"/>
          <w:iCs/>
          <w:kern w:val="0"/>
          <w:sz w:val="32"/>
          <w:szCs w:val="32"/>
          <w:highlight w:val="cyan"/>
        </w:rPr>
      </w:pPr>
      <w:r>
        <w:rPr>
          <w:rFonts w:ascii="Times New Roman" w:eastAsia="黑体" w:hAnsi="Times New Roman" w:cs="Times New Roman"/>
          <w:kern w:val="0"/>
          <w:sz w:val="32"/>
          <w:szCs w:val="32"/>
        </w:rPr>
        <w:t>一、收入支出决算总体情况说明</w:t>
      </w:r>
      <w:r>
        <w:rPr>
          <w:rFonts w:ascii="Times New Roman" w:eastAsia="黑体" w:hAnsi="Times New Roman" w:cs="Times New Roman"/>
          <w:kern w:val="0"/>
          <w:sz w:val="32"/>
          <w:szCs w:val="32"/>
        </w:rPr>
        <w:t xml:space="preserve"> </w:t>
      </w:r>
    </w:p>
    <w:p w14:paraId="314C1906" w14:textId="77777777" w:rsidR="00461755" w:rsidRDefault="00B3769C">
      <w:pPr>
        <w:widowControl/>
        <w:ind w:firstLineChars="200" w:firstLine="640"/>
        <w:jc w:val="left"/>
        <w:rPr>
          <w:rFonts w:ascii="Times New Roman" w:eastAsia="仿宋_GB2312" w:hAnsi="Times New Roman" w:cs="Times New Roman"/>
          <w:sz w:val="32"/>
          <w:szCs w:val="32"/>
        </w:rPr>
      </w:pPr>
      <w:bookmarkStart w:id="0" w:name="OLE_LINK2"/>
      <w:bookmarkStart w:id="1" w:name="_Hlk209972445"/>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年度收入总计、支出总计均为</w:t>
      </w:r>
      <w:r>
        <w:rPr>
          <w:rFonts w:ascii="Times New Roman" w:eastAsia="仿宋_GB2312" w:hAnsi="Times New Roman" w:cs="Times New Roman"/>
          <w:kern w:val="0"/>
          <w:sz w:val="32"/>
          <w:szCs w:val="32"/>
        </w:rPr>
        <w:t>3</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580.38</w:t>
      </w:r>
      <w:r>
        <w:rPr>
          <w:rFonts w:ascii="Times New Roman" w:eastAsia="仿宋_GB2312" w:hAnsi="Times New Roman" w:cs="Times New Roman"/>
          <w:kern w:val="0"/>
          <w:sz w:val="32"/>
          <w:szCs w:val="32"/>
        </w:rPr>
        <w:t>万元，与</w:t>
      </w:r>
      <w:r>
        <w:rPr>
          <w:rFonts w:ascii="Times New Roman" w:eastAsia="仿宋_GB2312" w:hAnsi="Times New Roman" w:cs="Times New Roman"/>
          <w:sz w:val="32"/>
          <w:szCs w:val="32"/>
        </w:rPr>
        <w:t>上年相比收入总计、支出总计减少</w:t>
      </w:r>
      <w:r>
        <w:rPr>
          <w:rFonts w:ascii="Times New Roman" w:eastAsia="仿宋_GB2312" w:hAnsi="Times New Roman" w:cs="Times New Roman"/>
          <w:sz w:val="32"/>
          <w:szCs w:val="32"/>
        </w:rPr>
        <w:t>102.45</w:t>
      </w:r>
      <w:r>
        <w:rPr>
          <w:rFonts w:ascii="Times New Roman" w:eastAsia="仿宋_GB2312" w:hAnsi="Times New Roman" w:cs="Times New Roman"/>
          <w:sz w:val="32"/>
          <w:szCs w:val="32"/>
        </w:rPr>
        <w:t>万元，下降</w:t>
      </w:r>
      <w:r>
        <w:rPr>
          <w:rFonts w:ascii="Times New Roman" w:eastAsia="仿宋_GB2312" w:hAnsi="Times New Roman" w:cs="Times New Roman"/>
          <w:sz w:val="32"/>
          <w:szCs w:val="32"/>
        </w:rPr>
        <w:t>2.78%</w:t>
      </w:r>
      <w:r>
        <w:rPr>
          <w:rFonts w:ascii="Times New Roman" w:eastAsia="仿宋_GB2312" w:hAnsi="Times New Roman" w:cs="Times New Roman"/>
          <w:sz w:val="32"/>
          <w:szCs w:val="32"/>
        </w:rPr>
        <w:t>。主要是项目收支减少。</w:t>
      </w:r>
      <w:bookmarkEnd w:id="0"/>
      <w:bookmarkEnd w:id="1"/>
    </w:p>
    <w:p w14:paraId="4F68C6B5" w14:textId="77777777" w:rsidR="00461755" w:rsidRDefault="00B3769C">
      <w:pPr>
        <w:widowControl/>
        <w:ind w:firstLineChars="200" w:firstLine="640"/>
        <w:jc w:val="left"/>
        <w:rPr>
          <w:rFonts w:ascii="Times New Roman" w:eastAsia="楷体" w:hAnsi="Times New Roman" w:cs="Times New Roman"/>
          <w:iCs/>
          <w:kern w:val="0"/>
          <w:sz w:val="32"/>
          <w:szCs w:val="32"/>
          <w:highlight w:val="cyan"/>
        </w:rPr>
      </w:pPr>
      <w:bookmarkStart w:id="2" w:name="_Hlk209080347"/>
      <w:bookmarkStart w:id="3" w:name="OLE_LINK3"/>
      <w:r>
        <w:rPr>
          <w:rFonts w:ascii="Times New Roman" w:eastAsia="楷体" w:hAnsi="Times New Roman" w:cs="Times New Roman" w:hint="eastAsia"/>
          <w:iCs/>
          <w:kern w:val="0"/>
          <w:sz w:val="32"/>
          <w:szCs w:val="32"/>
        </w:rPr>
        <w:t xml:space="preserve">    </w:t>
      </w:r>
      <w:r>
        <w:rPr>
          <w:rFonts w:ascii="Times New Roman" w:eastAsia="楷体" w:hAnsi="Times New Roman" w:cs="Times New Roman"/>
          <w:iCs/>
          <w:noProof/>
          <w:kern w:val="0"/>
          <w:sz w:val="32"/>
          <w:szCs w:val="32"/>
        </w:rPr>
        <w:drawing>
          <wp:inline distT="0" distB="0" distL="0" distR="0" wp14:anchorId="61957670" wp14:editId="3DEDA2B2">
            <wp:extent cx="4060190" cy="2707005"/>
            <wp:effectExtent l="0" t="0" r="0" b="0"/>
            <wp:docPr id="10" name="对象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2"/>
      <w:bookmarkEnd w:id="3"/>
    </w:p>
    <w:p w14:paraId="019BEB32" w14:textId="77777777" w:rsidR="00461755" w:rsidRDefault="00B3769C">
      <w:pPr>
        <w:widowControl/>
        <w:ind w:firstLineChars="200" w:firstLine="640"/>
        <w:jc w:val="left"/>
        <w:rPr>
          <w:rFonts w:ascii="Times New Roman" w:eastAsia="楷体" w:hAnsi="Times New Roman" w:cs="Times New Roman"/>
          <w:iCs/>
          <w:kern w:val="0"/>
          <w:sz w:val="32"/>
          <w:szCs w:val="32"/>
          <w:highlight w:val="cyan"/>
        </w:rPr>
      </w:pPr>
      <w:r>
        <w:rPr>
          <w:rFonts w:ascii="Times New Roman" w:eastAsia="黑体" w:hAnsi="Times New Roman" w:cs="Times New Roman"/>
          <w:kern w:val="0"/>
          <w:sz w:val="32"/>
          <w:szCs w:val="32"/>
        </w:rPr>
        <w:lastRenderedPageBreak/>
        <w:t>二、收入决算情况说明</w:t>
      </w:r>
    </w:p>
    <w:p w14:paraId="559A7DAF" w14:textId="77777777" w:rsidR="00461755" w:rsidRDefault="00B3769C">
      <w:pPr>
        <w:widowControl/>
        <w:ind w:firstLineChars="200" w:firstLine="640"/>
        <w:jc w:val="left"/>
        <w:rPr>
          <w:rFonts w:ascii="Times New Roman" w:eastAsia="仿宋" w:hAnsi="Times New Roman" w:cs="Times New Roman"/>
          <w:sz w:val="32"/>
          <w:szCs w:val="32"/>
          <w:highlight w:val="cyan"/>
        </w:rPr>
      </w:pPr>
      <w:bookmarkStart w:id="4" w:name="_Hlk209972978"/>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年度本年收入合计</w:t>
      </w:r>
      <w:r>
        <w:rPr>
          <w:rFonts w:ascii="Times New Roman" w:eastAsia="仿宋_GB2312" w:hAnsi="Times New Roman" w:cs="Times New Roman"/>
          <w:kern w:val="0"/>
          <w:sz w:val="32"/>
          <w:szCs w:val="32"/>
        </w:rPr>
        <w:t>3</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371.54</w:t>
      </w:r>
      <w:r>
        <w:rPr>
          <w:rFonts w:ascii="Times New Roman" w:eastAsia="仿宋_GB2312" w:hAnsi="Times New Roman" w:cs="Times New Roman"/>
          <w:kern w:val="0"/>
          <w:sz w:val="32"/>
          <w:szCs w:val="32"/>
        </w:rPr>
        <w:t>万元，其中：财政拨款收入</w:t>
      </w:r>
      <w:r>
        <w:rPr>
          <w:rFonts w:ascii="Times New Roman" w:eastAsia="仿宋_GB2312" w:hAnsi="Times New Roman" w:cs="Times New Roman"/>
          <w:kern w:val="0"/>
          <w:sz w:val="32"/>
          <w:szCs w:val="32"/>
        </w:rPr>
        <w:t>3</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255.42</w:t>
      </w:r>
      <w:r>
        <w:rPr>
          <w:rFonts w:ascii="Times New Roman" w:eastAsia="仿宋_GB2312" w:hAnsi="Times New Roman" w:cs="Times New Roman"/>
          <w:kern w:val="0"/>
          <w:sz w:val="32"/>
          <w:szCs w:val="32"/>
        </w:rPr>
        <w:t>万元，占</w:t>
      </w:r>
      <w:r>
        <w:rPr>
          <w:rFonts w:ascii="Times New Roman" w:eastAsia="仿宋_GB2312" w:hAnsi="Times New Roman" w:cs="Times New Roman"/>
          <w:kern w:val="0"/>
          <w:sz w:val="32"/>
          <w:szCs w:val="32"/>
        </w:rPr>
        <w:t>96.56%</w:t>
      </w:r>
      <w:r>
        <w:rPr>
          <w:rFonts w:ascii="Times New Roman" w:eastAsia="仿宋_GB2312" w:hAnsi="Times New Roman" w:cs="Times New Roman"/>
          <w:kern w:val="0"/>
          <w:sz w:val="32"/>
          <w:szCs w:val="32"/>
        </w:rPr>
        <w:t>；其他收入</w:t>
      </w:r>
      <w:r>
        <w:rPr>
          <w:rFonts w:ascii="Times New Roman" w:eastAsia="仿宋_GB2312" w:hAnsi="Times New Roman" w:cs="Times New Roman"/>
          <w:kern w:val="0"/>
          <w:sz w:val="32"/>
          <w:szCs w:val="32"/>
        </w:rPr>
        <w:t>116.13</w:t>
      </w:r>
      <w:r>
        <w:rPr>
          <w:rFonts w:ascii="Times New Roman" w:eastAsia="仿宋_GB2312" w:hAnsi="Times New Roman" w:cs="Times New Roman"/>
          <w:kern w:val="0"/>
          <w:sz w:val="32"/>
          <w:szCs w:val="32"/>
        </w:rPr>
        <w:t>万元，占</w:t>
      </w:r>
      <w:r>
        <w:rPr>
          <w:rFonts w:ascii="Times New Roman" w:eastAsia="仿宋_GB2312" w:hAnsi="Times New Roman" w:cs="Times New Roman"/>
          <w:kern w:val="0"/>
          <w:sz w:val="32"/>
          <w:szCs w:val="32"/>
        </w:rPr>
        <w:t>3.44%</w:t>
      </w:r>
      <w:r>
        <w:rPr>
          <w:rFonts w:ascii="Times New Roman" w:eastAsia="仿宋_GB2312" w:hAnsi="Times New Roman" w:cs="Times New Roman"/>
          <w:kern w:val="0"/>
          <w:sz w:val="32"/>
          <w:szCs w:val="32"/>
        </w:rPr>
        <w:t>。</w:t>
      </w:r>
    </w:p>
    <w:p w14:paraId="22D475F9" w14:textId="77777777" w:rsidR="00461755" w:rsidRDefault="00B3769C">
      <w:pPr>
        <w:widowControl/>
        <w:ind w:firstLineChars="200" w:firstLine="640"/>
        <w:jc w:val="left"/>
        <w:rPr>
          <w:rFonts w:ascii="Times New Roman" w:eastAsia="仿宋" w:hAnsi="Times New Roman" w:cs="Times New Roman"/>
          <w:sz w:val="32"/>
          <w:szCs w:val="32"/>
          <w:highlight w:val="cyan"/>
        </w:rPr>
      </w:pPr>
      <w:bookmarkStart w:id="5" w:name="_Hlk209973107"/>
      <w:bookmarkEnd w:id="4"/>
      <w:r>
        <w:rPr>
          <w:rFonts w:ascii="Times New Roman" w:eastAsia="仿宋" w:hAnsi="Times New Roman" w:cs="Times New Roman"/>
          <w:noProof/>
          <w:sz w:val="32"/>
          <w:szCs w:val="32"/>
        </w:rPr>
        <w:drawing>
          <wp:inline distT="0" distB="0" distL="0" distR="0" wp14:anchorId="608751BE" wp14:editId="4257C003">
            <wp:extent cx="4580255" cy="3058795"/>
            <wp:effectExtent l="0" t="0" r="0" b="0"/>
            <wp:docPr id="11" name="对象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End w:id="5"/>
    </w:p>
    <w:p w14:paraId="4BBE96C4" w14:textId="77777777" w:rsidR="00461755" w:rsidRDefault="00461755">
      <w:pPr>
        <w:widowControl/>
        <w:ind w:firstLineChars="200" w:firstLine="640"/>
        <w:jc w:val="left"/>
        <w:rPr>
          <w:rFonts w:ascii="Times New Roman" w:eastAsia="黑体" w:hAnsi="Times New Roman" w:cs="Times New Roman"/>
          <w:kern w:val="0"/>
          <w:sz w:val="32"/>
          <w:szCs w:val="32"/>
        </w:rPr>
      </w:pPr>
    </w:p>
    <w:p w14:paraId="69AAB7B7" w14:textId="77777777" w:rsidR="00461755" w:rsidRDefault="00B3769C">
      <w:pPr>
        <w:widowControl/>
        <w:ind w:firstLineChars="200" w:firstLine="640"/>
        <w:jc w:val="left"/>
        <w:rPr>
          <w:rFonts w:ascii="Times New Roman" w:eastAsia="楷体" w:hAnsi="Times New Roman" w:cs="Times New Roman"/>
          <w:iCs/>
          <w:kern w:val="0"/>
          <w:sz w:val="32"/>
          <w:szCs w:val="32"/>
          <w:highlight w:val="cyan"/>
        </w:rPr>
      </w:pPr>
      <w:r>
        <w:rPr>
          <w:rFonts w:ascii="Times New Roman" w:eastAsia="黑体" w:hAnsi="Times New Roman" w:cs="Times New Roman"/>
          <w:kern w:val="0"/>
          <w:sz w:val="32"/>
          <w:szCs w:val="32"/>
        </w:rPr>
        <w:t>三、支出决算情况说明</w:t>
      </w:r>
      <w:r>
        <w:rPr>
          <w:rFonts w:ascii="Times New Roman" w:eastAsia="黑体" w:hAnsi="Times New Roman" w:cs="Times New Roman"/>
          <w:kern w:val="0"/>
          <w:sz w:val="32"/>
          <w:szCs w:val="32"/>
        </w:rPr>
        <w:t xml:space="preserve">  </w:t>
      </w:r>
    </w:p>
    <w:p w14:paraId="5556D181" w14:textId="77777777" w:rsidR="00461755" w:rsidRDefault="00B3769C">
      <w:pPr>
        <w:widowControl/>
        <w:ind w:firstLineChars="200" w:firstLine="64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2024</w:t>
      </w:r>
      <w:r>
        <w:rPr>
          <w:rFonts w:ascii="Times New Roman" w:eastAsia="仿宋_GB2312" w:hAnsi="Times New Roman" w:cs="Times New Roman"/>
          <w:sz w:val="32"/>
          <w:szCs w:val="32"/>
        </w:rPr>
        <w:t>年度本年支出合计</w:t>
      </w:r>
      <w:r>
        <w:rPr>
          <w:rFonts w:ascii="Times New Roman" w:eastAsia="仿宋_GB2312" w:hAnsi="Times New Roman" w:cs="Times New Roman"/>
          <w:kern w:val="0"/>
          <w:sz w:val="32"/>
          <w:szCs w:val="32"/>
        </w:rPr>
        <w:t>3</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356.24</w:t>
      </w:r>
      <w:r>
        <w:rPr>
          <w:rFonts w:ascii="Times New Roman" w:eastAsia="仿宋_GB2312" w:hAnsi="Times New Roman" w:cs="Times New Roman"/>
          <w:kern w:val="0"/>
          <w:sz w:val="32"/>
          <w:szCs w:val="32"/>
        </w:rPr>
        <w:t>万元，其中：基本支出</w:t>
      </w:r>
      <w:r>
        <w:rPr>
          <w:rFonts w:ascii="Times New Roman" w:eastAsia="仿宋_GB2312" w:hAnsi="Times New Roman" w:cs="Times New Roman"/>
          <w:kern w:val="0"/>
          <w:sz w:val="32"/>
          <w:szCs w:val="32"/>
        </w:rPr>
        <w:t>1</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624.13</w:t>
      </w:r>
      <w:r>
        <w:rPr>
          <w:rFonts w:ascii="Times New Roman" w:eastAsia="仿宋_GB2312" w:hAnsi="Times New Roman" w:cs="Times New Roman"/>
          <w:kern w:val="0"/>
          <w:sz w:val="32"/>
          <w:szCs w:val="32"/>
        </w:rPr>
        <w:t>万元，占</w:t>
      </w:r>
      <w:r>
        <w:rPr>
          <w:rFonts w:ascii="Times New Roman" w:eastAsia="仿宋_GB2312" w:hAnsi="Times New Roman" w:cs="Times New Roman"/>
          <w:kern w:val="0"/>
          <w:sz w:val="32"/>
          <w:szCs w:val="32"/>
        </w:rPr>
        <w:t>48.39%</w:t>
      </w:r>
      <w:r>
        <w:rPr>
          <w:rFonts w:ascii="Times New Roman" w:eastAsia="仿宋_GB2312" w:hAnsi="Times New Roman" w:cs="Times New Roman"/>
          <w:kern w:val="0"/>
          <w:sz w:val="32"/>
          <w:szCs w:val="32"/>
        </w:rPr>
        <w:t>；项目支出</w:t>
      </w:r>
      <w:r>
        <w:rPr>
          <w:rFonts w:ascii="Times New Roman" w:eastAsia="仿宋_GB2312" w:hAnsi="Times New Roman" w:cs="Times New Roman"/>
          <w:kern w:val="0"/>
          <w:sz w:val="32"/>
          <w:szCs w:val="32"/>
        </w:rPr>
        <w:t>1</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732.11</w:t>
      </w:r>
      <w:r>
        <w:rPr>
          <w:rFonts w:ascii="Times New Roman" w:eastAsia="仿宋_GB2312" w:hAnsi="Times New Roman" w:cs="Times New Roman"/>
          <w:kern w:val="0"/>
          <w:sz w:val="32"/>
          <w:szCs w:val="32"/>
        </w:rPr>
        <w:t>万元，占</w:t>
      </w:r>
      <w:r>
        <w:rPr>
          <w:rFonts w:ascii="Times New Roman" w:eastAsia="仿宋_GB2312" w:hAnsi="Times New Roman" w:cs="Times New Roman"/>
          <w:kern w:val="0"/>
          <w:sz w:val="32"/>
          <w:szCs w:val="32"/>
        </w:rPr>
        <w:t>51.61%</w:t>
      </w:r>
      <w:r>
        <w:rPr>
          <w:rFonts w:ascii="Times New Roman" w:eastAsia="仿宋_GB2312" w:hAnsi="Times New Roman" w:cs="Times New Roman"/>
          <w:kern w:val="0"/>
          <w:sz w:val="32"/>
          <w:szCs w:val="32"/>
        </w:rPr>
        <w:t>。</w:t>
      </w:r>
    </w:p>
    <w:p w14:paraId="7EB01C86" w14:textId="77777777" w:rsidR="00461755" w:rsidRDefault="00B3769C">
      <w:pPr>
        <w:widowControl/>
        <w:ind w:firstLineChars="200" w:firstLine="640"/>
        <w:jc w:val="left"/>
        <w:rPr>
          <w:rFonts w:ascii="Times New Roman" w:eastAsia="楷体" w:hAnsi="Times New Roman" w:cs="Times New Roman"/>
          <w:iCs/>
          <w:kern w:val="0"/>
          <w:sz w:val="32"/>
          <w:szCs w:val="32"/>
        </w:rPr>
      </w:pPr>
      <w:r>
        <w:rPr>
          <w:rFonts w:ascii="Times New Roman" w:eastAsia="楷体" w:hAnsi="Times New Roman" w:cs="Times New Roman"/>
          <w:iCs/>
          <w:noProof/>
          <w:kern w:val="0"/>
          <w:sz w:val="32"/>
          <w:szCs w:val="32"/>
        </w:rPr>
        <w:lastRenderedPageBreak/>
        <w:drawing>
          <wp:inline distT="0" distB="0" distL="0" distR="0" wp14:anchorId="3B6E12B3" wp14:editId="08D02E2E">
            <wp:extent cx="4638675" cy="2400300"/>
            <wp:effectExtent l="0" t="0" r="0" b="0"/>
            <wp:docPr id="12" name="对象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54338A4" w14:textId="77777777" w:rsidR="00461755" w:rsidRDefault="00B3769C">
      <w:pPr>
        <w:widowControl/>
        <w:ind w:firstLineChars="200" w:firstLine="640"/>
        <w:jc w:val="left"/>
        <w:rPr>
          <w:rFonts w:ascii="Times New Roman" w:eastAsia="黑体" w:hAnsi="Times New Roman" w:cs="Times New Roman"/>
          <w:kern w:val="0"/>
          <w:sz w:val="32"/>
          <w:szCs w:val="32"/>
        </w:rPr>
      </w:pPr>
      <w:r>
        <w:rPr>
          <w:rFonts w:ascii="Times New Roman" w:eastAsia="黑体" w:hAnsi="Times New Roman" w:cs="Times New Roman"/>
          <w:kern w:val="0"/>
          <w:sz w:val="32"/>
          <w:szCs w:val="32"/>
        </w:rPr>
        <w:t>四、财政拨款收入支出决算总体情况说明</w:t>
      </w:r>
    </w:p>
    <w:p w14:paraId="3EE0BE13" w14:textId="77777777" w:rsidR="00461755" w:rsidRDefault="00B3769C">
      <w:pPr>
        <w:widowControl/>
        <w:ind w:firstLineChars="200" w:firstLine="640"/>
        <w:jc w:val="left"/>
        <w:rPr>
          <w:rFonts w:ascii="Times New Roman" w:eastAsia="楷体" w:hAnsi="Times New Roman" w:cs="Times New Roman"/>
          <w:iCs/>
          <w:kern w:val="0"/>
          <w:sz w:val="32"/>
          <w:szCs w:val="32"/>
          <w:highlight w:val="cyan"/>
        </w:rPr>
      </w:pPr>
      <w:bookmarkStart w:id="6" w:name="OLE_LINK4"/>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w:t>
      </w:r>
      <w:r>
        <w:rPr>
          <w:rFonts w:ascii="Times New Roman" w:eastAsia="仿宋_GB2312" w:hAnsi="Times New Roman" w:cs="Times New Roman"/>
          <w:kern w:val="0"/>
          <w:sz w:val="32"/>
          <w:szCs w:val="32"/>
        </w:rPr>
        <w:t>财政拨款</w:t>
      </w:r>
      <w:r>
        <w:rPr>
          <w:rFonts w:ascii="Times New Roman" w:eastAsia="仿宋_GB2312" w:hAnsi="Times New Roman" w:cs="Times New Roman"/>
          <w:sz w:val="32"/>
          <w:szCs w:val="32"/>
        </w:rPr>
        <w:t>收入总计、支出总计均为</w:t>
      </w:r>
      <w:r>
        <w:rPr>
          <w:rFonts w:ascii="Times New Roman" w:eastAsia="仿宋_GB2312" w:hAnsi="Times New Roman" w:cs="Times New Roman"/>
          <w:kern w:val="0"/>
          <w:sz w:val="32"/>
          <w:szCs w:val="32"/>
        </w:rPr>
        <w:t>3</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263.20</w:t>
      </w:r>
      <w:r>
        <w:rPr>
          <w:rFonts w:ascii="Times New Roman" w:eastAsia="仿宋_GB2312" w:hAnsi="Times New Roman" w:cs="Times New Roman"/>
          <w:kern w:val="0"/>
          <w:sz w:val="32"/>
          <w:szCs w:val="32"/>
        </w:rPr>
        <w:t>万元，与</w:t>
      </w:r>
      <w:r>
        <w:rPr>
          <w:rFonts w:ascii="Times New Roman" w:eastAsia="仿宋_GB2312" w:hAnsi="Times New Roman" w:cs="Times New Roman"/>
          <w:sz w:val="32"/>
          <w:szCs w:val="32"/>
        </w:rPr>
        <w:t>上年相比收入总计、支出总计减少</w:t>
      </w:r>
      <w:r>
        <w:rPr>
          <w:rFonts w:ascii="Times New Roman" w:eastAsia="仿宋_GB2312" w:hAnsi="Times New Roman" w:cs="Times New Roman"/>
          <w:sz w:val="32"/>
          <w:szCs w:val="32"/>
        </w:rPr>
        <w:t>218.58</w:t>
      </w:r>
      <w:r>
        <w:rPr>
          <w:rFonts w:ascii="Times New Roman" w:eastAsia="仿宋_GB2312" w:hAnsi="Times New Roman" w:cs="Times New Roman"/>
          <w:kern w:val="0"/>
          <w:sz w:val="32"/>
          <w:szCs w:val="32"/>
        </w:rPr>
        <w:t>万元，下降</w:t>
      </w:r>
      <w:r>
        <w:rPr>
          <w:rFonts w:ascii="Times New Roman" w:eastAsia="仿宋_GB2312" w:hAnsi="Times New Roman" w:cs="Times New Roman"/>
          <w:kern w:val="0"/>
          <w:sz w:val="32"/>
          <w:szCs w:val="32"/>
        </w:rPr>
        <w:t>6.28%</w:t>
      </w:r>
      <w:r>
        <w:rPr>
          <w:rFonts w:ascii="Times New Roman" w:eastAsia="仿宋_GB2312" w:hAnsi="Times New Roman" w:cs="Times New Roman"/>
          <w:kern w:val="0"/>
          <w:sz w:val="32"/>
          <w:szCs w:val="32"/>
        </w:rPr>
        <w:t>。</w:t>
      </w:r>
      <w:r>
        <w:rPr>
          <w:rFonts w:ascii="Times New Roman" w:eastAsia="仿宋_GB2312" w:hAnsi="Times New Roman" w:cs="Times New Roman"/>
          <w:sz w:val="32"/>
          <w:szCs w:val="32"/>
        </w:rPr>
        <w:t>主要原因是</w:t>
      </w:r>
      <w:r>
        <w:rPr>
          <w:rFonts w:ascii="Times New Roman" w:eastAsia="仿宋" w:hAnsi="Times New Roman" w:cs="Times New Roman"/>
          <w:kern w:val="0"/>
          <w:sz w:val="32"/>
          <w:szCs w:val="32"/>
        </w:rPr>
        <w:t>项目支出减少</w:t>
      </w:r>
      <w:r>
        <w:rPr>
          <w:rFonts w:ascii="Times New Roman" w:eastAsia="仿宋_GB2312" w:hAnsi="Times New Roman" w:cs="Times New Roman"/>
          <w:sz w:val="32"/>
          <w:szCs w:val="32"/>
        </w:rPr>
        <w:t>。</w:t>
      </w:r>
    </w:p>
    <w:bookmarkEnd w:id="6"/>
    <w:p w14:paraId="4EE8B837" w14:textId="77777777" w:rsidR="00461755" w:rsidRDefault="00B3769C">
      <w:pPr>
        <w:widowControl/>
        <w:ind w:firstLineChars="200" w:firstLine="640"/>
        <w:jc w:val="left"/>
        <w:rPr>
          <w:rFonts w:ascii="Times New Roman" w:eastAsia="仿宋" w:hAnsi="Times New Roman" w:cs="Times New Roman"/>
          <w:sz w:val="32"/>
          <w:szCs w:val="32"/>
          <w:highlight w:val="cyan"/>
        </w:rPr>
      </w:pPr>
      <w:r>
        <w:rPr>
          <w:rFonts w:ascii="Times New Roman" w:eastAsia="楷体" w:hAnsi="Times New Roman" w:cs="Times New Roman"/>
          <w:iCs/>
          <w:noProof/>
          <w:kern w:val="0"/>
          <w:sz w:val="32"/>
          <w:szCs w:val="32"/>
        </w:rPr>
        <w:drawing>
          <wp:inline distT="0" distB="0" distL="0" distR="0" wp14:anchorId="35884353" wp14:editId="478B8BDD">
            <wp:extent cx="4724400" cy="2428875"/>
            <wp:effectExtent l="0" t="0" r="0" b="0"/>
            <wp:docPr id="13" name="对象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0F0039A" w14:textId="77777777" w:rsidR="00461755" w:rsidRDefault="00B3769C">
      <w:pPr>
        <w:widowControl/>
        <w:ind w:firstLineChars="200" w:firstLine="640"/>
        <w:jc w:val="left"/>
        <w:rPr>
          <w:rFonts w:ascii="Times New Roman" w:eastAsia="黑体" w:hAnsi="Times New Roman" w:cs="Times New Roman"/>
          <w:kern w:val="0"/>
          <w:sz w:val="32"/>
          <w:szCs w:val="32"/>
        </w:rPr>
      </w:pPr>
      <w:r>
        <w:rPr>
          <w:rFonts w:ascii="Times New Roman" w:eastAsia="黑体" w:hAnsi="Times New Roman" w:cs="Times New Roman"/>
          <w:kern w:val="0"/>
          <w:sz w:val="32"/>
          <w:szCs w:val="32"/>
        </w:rPr>
        <w:t>五、一般公共预算财政拨款支出决算情况说明</w:t>
      </w:r>
    </w:p>
    <w:p w14:paraId="22C6FAD2" w14:textId="77777777" w:rsidR="00461755" w:rsidRDefault="00B3769C">
      <w:pPr>
        <w:widowControl/>
        <w:ind w:firstLineChars="200" w:firstLine="640"/>
        <w:jc w:val="left"/>
        <w:rPr>
          <w:rFonts w:ascii="Times New Roman" w:eastAsia="仿宋_GB2312" w:hAnsi="Times New Roman" w:cs="Times New Roman"/>
          <w:kern w:val="0"/>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w:t>
      </w:r>
      <w:r>
        <w:rPr>
          <w:rFonts w:ascii="Times New Roman" w:eastAsia="仿宋_GB2312" w:hAnsi="Times New Roman" w:cs="Times New Roman"/>
          <w:kern w:val="0"/>
          <w:sz w:val="32"/>
          <w:szCs w:val="32"/>
        </w:rPr>
        <w:t>度一般公共预算财政拨款支出年初预算</w:t>
      </w:r>
      <w:r>
        <w:rPr>
          <w:rFonts w:ascii="Times New Roman" w:eastAsia="仿宋_GB2312" w:hAnsi="Times New Roman" w:cs="Times New Roman"/>
          <w:kern w:val="0"/>
          <w:sz w:val="32"/>
          <w:szCs w:val="32"/>
        </w:rPr>
        <w:t>1</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657.41</w:t>
      </w:r>
      <w:r>
        <w:rPr>
          <w:rFonts w:ascii="Times New Roman" w:eastAsia="仿宋_GB2312" w:hAnsi="Times New Roman" w:cs="Times New Roman"/>
          <w:kern w:val="0"/>
          <w:sz w:val="32"/>
          <w:szCs w:val="32"/>
        </w:rPr>
        <w:t>万元，支出决算</w:t>
      </w:r>
      <w:r>
        <w:rPr>
          <w:rFonts w:ascii="Times New Roman" w:eastAsia="仿宋_GB2312" w:hAnsi="Times New Roman" w:cs="Times New Roman"/>
          <w:kern w:val="0"/>
          <w:sz w:val="32"/>
          <w:szCs w:val="32"/>
        </w:rPr>
        <w:t>3</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243.27</w:t>
      </w:r>
      <w:r>
        <w:rPr>
          <w:rFonts w:ascii="Times New Roman" w:eastAsia="仿宋_GB2312" w:hAnsi="Times New Roman" w:cs="Times New Roman"/>
          <w:kern w:val="0"/>
          <w:sz w:val="32"/>
          <w:szCs w:val="32"/>
        </w:rPr>
        <w:t>万元，完成年初预算的</w:t>
      </w:r>
      <w:r>
        <w:rPr>
          <w:rFonts w:ascii="Times New Roman" w:eastAsia="仿宋_GB2312" w:hAnsi="Times New Roman" w:cs="Times New Roman"/>
          <w:kern w:val="0"/>
          <w:sz w:val="32"/>
          <w:szCs w:val="32"/>
        </w:rPr>
        <w:t>195.68%</w:t>
      </w:r>
      <w:r>
        <w:rPr>
          <w:rFonts w:ascii="Times New Roman" w:eastAsia="仿宋_GB2312" w:hAnsi="Times New Roman" w:cs="Times New Roman"/>
          <w:kern w:val="0"/>
          <w:sz w:val="32"/>
          <w:szCs w:val="32"/>
        </w:rPr>
        <w:t>，占本年支出合计的</w:t>
      </w:r>
      <w:r>
        <w:rPr>
          <w:rFonts w:ascii="Times New Roman" w:eastAsia="仿宋_GB2312" w:hAnsi="Times New Roman" w:cs="Times New Roman"/>
          <w:kern w:val="0"/>
          <w:sz w:val="32"/>
          <w:szCs w:val="32"/>
        </w:rPr>
        <w:t>99.39%</w:t>
      </w:r>
      <w:r>
        <w:rPr>
          <w:rFonts w:ascii="Times New Roman" w:eastAsia="仿宋_GB2312" w:hAnsi="Times New Roman" w:cs="Times New Roman"/>
          <w:kern w:val="0"/>
          <w:sz w:val="32"/>
          <w:szCs w:val="32"/>
        </w:rPr>
        <w:t>。与上年相比，财政拨</w:t>
      </w:r>
      <w:r>
        <w:rPr>
          <w:rFonts w:ascii="Times New Roman" w:eastAsia="仿宋_GB2312" w:hAnsi="Times New Roman" w:cs="Times New Roman"/>
          <w:kern w:val="0"/>
          <w:sz w:val="32"/>
          <w:szCs w:val="32"/>
        </w:rPr>
        <w:lastRenderedPageBreak/>
        <w:t>款支出减少</w:t>
      </w:r>
      <w:r>
        <w:rPr>
          <w:rFonts w:ascii="Times New Roman" w:eastAsia="仿宋_GB2312" w:hAnsi="Times New Roman" w:cs="Times New Roman"/>
          <w:kern w:val="0"/>
          <w:sz w:val="32"/>
          <w:szCs w:val="32"/>
        </w:rPr>
        <w:t>215.61</w:t>
      </w:r>
      <w:r>
        <w:rPr>
          <w:rFonts w:ascii="Times New Roman" w:eastAsia="仿宋_GB2312" w:hAnsi="Times New Roman" w:cs="Times New Roman"/>
          <w:kern w:val="0"/>
          <w:sz w:val="32"/>
          <w:szCs w:val="32"/>
        </w:rPr>
        <w:t>万元，下降</w:t>
      </w:r>
      <w:r>
        <w:rPr>
          <w:rFonts w:ascii="Times New Roman" w:eastAsia="仿宋_GB2312" w:hAnsi="Times New Roman" w:cs="Times New Roman" w:hint="eastAsia"/>
          <w:kern w:val="0"/>
          <w:sz w:val="32"/>
          <w:szCs w:val="32"/>
        </w:rPr>
        <w:t>6</w:t>
      </w:r>
      <w:r>
        <w:rPr>
          <w:rFonts w:ascii="Times New Roman" w:eastAsia="仿宋_GB2312" w:hAnsi="Times New Roman" w:cs="Times New Roman"/>
          <w:kern w:val="0"/>
          <w:sz w:val="32"/>
          <w:szCs w:val="32"/>
        </w:rPr>
        <w:t>.23%</w:t>
      </w:r>
      <w:r>
        <w:rPr>
          <w:rFonts w:ascii="Times New Roman" w:eastAsia="仿宋_GB2312" w:hAnsi="Times New Roman" w:cs="Times New Roman"/>
          <w:kern w:val="0"/>
          <w:sz w:val="32"/>
          <w:szCs w:val="32"/>
        </w:rPr>
        <w:t>，主要原因是</w:t>
      </w:r>
      <w:r>
        <w:rPr>
          <w:rFonts w:ascii="Times New Roman" w:eastAsia="仿宋_GB2312" w:hAnsi="Times New Roman" w:cs="Times New Roman" w:hint="eastAsia"/>
          <w:kern w:val="0"/>
          <w:sz w:val="32"/>
          <w:szCs w:val="32"/>
        </w:rPr>
        <w:t>项目支出减少</w:t>
      </w:r>
      <w:r>
        <w:rPr>
          <w:rFonts w:ascii="Times New Roman" w:eastAsia="仿宋_GB2312" w:hAnsi="Times New Roman" w:cs="Times New Roman"/>
          <w:kern w:val="0"/>
          <w:sz w:val="32"/>
          <w:szCs w:val="32"/>
        </w:rPr>
        <w:t>。</w:t>
      </w:r>
    </w:p>
    <w:p w14:paraId="469115E4" w14:textId="77777777" w:rsidR="00461755" w:rsidRDefault="00B3769C">
      <w:pPr>
        <w:widowControl/>
        <w:ind w:firstLineChars="200" w:firstLine="640"/>
        <w:jc w:val="left"/>
        <w:rPr>
          <w:rFonts w:ascii="Times New Roman" w:eastAsia="楷体" w:hAnsi="Times New Roman" w:cs="Times New Roman"/>
          <w:iCs/>
          <w:kern w:val="0"/>
          <w:sz w:val="32"/>
          <w:szCs w:val="32"/>
          <w:highlight w:val="cyan"/>
        </w:rPr>
      </w:pPr>
      <w:r>
        <w:rPr>
          <w:rFonts w:ascii="楷体" w:eastAsia="楷体" w:hAnsi="楷体" w:cs="楷体"/>
          <w:iCs/>
          <w:noProof/>
          <w:kern w:val="0"/>
          <w:sz w:val="32"/>
          <w:szCs w:val="32"/>
        </w:rPr>
        <w:drawing>
          <wp:inline distT="0" distB="0" distL="0" distR="0" wp14:anchorId="4F81666A" wp14:editId="3242D523">
            <wp:extent cx="4495800" cy="2428875"/>
            <wp:effectExtent l="0" t="0" r="0" b="0"/>
            <wp:docPr id="14" name="对象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701B03B" w14:textId="77777777" w:rsidR="00461755" w:rsidRDefault="00B3769C">
      <w:pPr>
        <w:widowControl/>
        <w:ind w:firstLineChars="200" w:firstLine="640"/>
        <w:jc w:val="left"/>
        <w:rPr>
          <w:rFonts w:ascii="Times New Roman" w:hAnsi="Times New Roman" w:cs="Times New Roman"/>
        </w:rPr>
      </w:pPr>
      <w:r>
        <w:rPr>
          <w:rFonts w:ascii="Times New Roman" w:eastAsia="仿宋_GB2312" w:hAnsi="Times New Roman" w:cs="Times New Roman"/>
          <w:kern w:val="0"/>
          <w:sz w:val="32"/>
          <w:szCs w:val="32"/>
        </w:rPr>
        <w:t>按照政府功能分类科目，其中：</w:t>
      </w:r>
    </w:p>
    <w:p w14:paraId="26D2B08F" w14:textId="77777777" w:rsidR="00461755" w:rsidRDefault="00B3769C">
      <w:pPr>
        <w:widowControl/>
        <w:ind w:firstLineChars="200" w:firstLine="643"/>
        <w:jc w:val="left"/>
        <w:rPr>
          <w:rFonts w:ascii="Times New Roman" w:eastAsia="仿宋_GB2312" w:hAnsi="Times New Roman" w:cs="Times New Roman"/>
          <w:b/>
          <w:bCs/>
          <w:kern w:val="0"/>
          <w:sz w:val="32"/>
          <w:szCs w:val="32"/>
        </w:rPr>
      </w:pPr>
      <w:bookmarkStart w:id="7" w:name="_Hlk209973767"/>
      <w:r>
        <w:rPr>
          <w:rFonts w:ascii="Times New Roman" w:eastAsia="仿宋_GB2312" w:hAnsi="Times New Roman" w:cs="Times New Roman"/>
          <w:b/>
          <w:bCs/>
          <w:kern w:val="0"/>
          <w:sz w:val="32"/>
          <w:szCs w:val="32"/>
        </w:rPr>
        <w:t>1.</w:t>
      </w:r>
      <w:r>
        <w:rPr>
          <w:rFonts w:ascii="Times New Roman" w:eastAsia="仿宋_GB2312" w:hAnsi="Times New Roman" w:cs="Times New Roman"/>
          <w:b/>
          <w:bCs/>
          <w:kern w:val="0"/>
          <w:sz w:val="32"/>
          <w:szCs w:val="32"/>
        </w:rPr>
        <w:t>一般公共服务支出（</w:t>
      </w:r>
      <w:r>
        <w:rPr>
          <w:rFonts w:ascii="Times New Roman" w:eastAsia="仿宋_GB2312" w:hAnsi="Times New Roman" w:cs="Times New Roman" w:hint="eastAsia"/>
          <w:b/>
          <w:bCs/>
          <w:kern w:val="0"/>
          <w:sz w:val="32"/>
          <w:szCs w:val="32"/>
        </w:rPr>
        <w:t>类</w:t>
      </w:r>
      <w:r>
        <w:rPr>
          <w:rFonts w:ascii="Times New Roman" w:eastAsia="仿宋_GB2312" w:hAnsi="Times New Roman" w:cs="Times New Roman"/>
          <w:b/>
          <w:bCs/>
          <w:kern w:val="0"/>
          <w:sz w:val="32"/>
          <w:szCs w:val="32"/>
        </w:rPr>
        <w:t>）</w:t>
      </w:r>
      <w:r>
        <w:rPr>
          <w:rFonts w:ascii="Times New Roman" w:eastAsia="仿宋_GB2312" w:hAnsi="Times New Roman" w:cs="Times New Roman" w:hint="eastAsia"/>
          <w:b/>
          <w:bCs/>
          <w:kern w:val="0"/>
          <w:sz w:val="32"/>
          <w:szCs w:val="32"/>
        </w:rPr>
        <w:t>发展与改革</w:t>
      </w:r>
      <w:r>
        <w:rPr>
          <w:rFonts w:ascii="Times New Roman" w:eastAsia="仿宋_GB2312" w:hAnsi="Times New Roman" w:cs="Times New Roman"/>
          <w:b/>
          <w:bCs/>
          <w:kern w:val="0"/>
          <w:sz w:val="32"/>
          <w:szCs w:val="32"/>
        </w:rPr>
        <w:t>事务（</w:t>
      </w:r>
      <w:r>
        <w:rPr>
          <w:rFonts w:ascii="Times New Roman" w:eastAsia="仿宋_GB2312" w:hAnsi="Times New Roman" w:cs="Times New Roman" w:hint="eastAsia"/>
          <w:b/>
          <w:bCs/>
          <w:kern w:val="0"/>
          <w:sz w:val="32"/>
          <w:szCs w:val="32"/>
        </w:rPr>
        <w:t>款</w:t>
      </w:r>
      <w:r>
        <w:rPr>
          <w:rFonts w:ascii="Times New Roman" w:eastAsia="仿宋_GB2312" w:hAnsi="Times New Roman" w:cs="Times New Roman"/>
          <w:b/>
          <w:bCs/>
          <w:kern w:val="0"/>
          <w:sz w:val="32"/>
          <w:szCs w:val="32"/>
        </w:rPr>
        <w:t>）行政运行（</w:t>
      </w:r>
      <w:r>
        <w:rPr>
          <w:rFonts w:ascii="Times New Roman" w:eastAsia="仿宋_GB2312" w:hAnsi="Times New Roman" w:cs="Times New Roman" w:hint="eastAsia"/>
          <w:b/>
          <w:bCs/>
          <w:kern w:val="0"/>
          <w:sz w:val="32"/>
          <w:szCs w:val="32"/>
        </w:rPr>
        <w:t>项</w:t>
      </w:r>
      <w:r>
        <w:rPr>
          <w:rFonts w:ascii="Times New Roman" w:eastAsia="仿宋_GB2312" w:hAnsi="Times New Roman" w:cs="Times New Roman"/>
          <w:b/>
          <w:bCs/>
          <w:kern w:val="0"/>
          <w:sz w:val="32"/>
          <w:szCs w:val="32"/>
        </w:rPr>
        <w:t>）。</w:t>
      </w:r>
      <w:r>
        <w:rPr>
          <w:rFonts w:ascii="Times New Roman" w:eastAsia="仿宋_GB2312" w:hAnsi="Times New Roman" w:cs="Times New Roman"/>
          <w:b/>
          <w:bCs/>
          <w:kern w:val="0"/>
          <w:sz w:val="32"/>
          <w:szCs w:val="32"/>
        </w:rPr>
        <w:t xml:space="preserve"> </w:t>
      </w:r>
    </w:p>
    <w:p w14:paraId="7BCC31B7" w14:textId="77777777" w:rsidR="00461755" w:rsidRDefault="00B3769C">
      <w:pPr>
        <w:widowControl/>
        <w:ind w:firstLineChars="200" w:firstLine="640"/>
        <w:jc w:val="left"/>
        <w:rPr>
          <w:rFonts w:ascii="Times New Roman" w:eastAsia="仿宋_GB2312" w:hAnsi="Times New Roman" w:cs="Times New Roman"/>
          <w:kern w:val="0"/>
          <w:sz w:val="32"/>
          <w:szCs w:val="32"/>
        </w:rPr>
      </w:pPr>
      <w:bookmarkStart w:id="8" w:name="OLE_LINK5"/>
      <w:bookmarkStart w:id="9" w:name="OLE_LINK6"/>
      <w:r>
        <w:rPr>
          <w:rFonts w:ascii="Times New Roman" w:eastAsia="仿宋_GB2312" w:hAnsi="Times New Roman" w:cs="Times New Roman"/>
          <w:kern w:val="0"/>
          <w:sz w:val="32"/>
          <w:szCs w:val="32"/>
        </w:rPr>
        <w:t>年初预算</w:t>
      </w:r>
      <w:r>
        <w:rPr>
          <w:rFonts w:ascii="Times New Roman" w:eastAsia="仿宋_GB2312" w:hAnsi="Times New Roman" w:cs="Times New Roman"/>
          <w:kern w:val="0"/>
          <w:sz w:val="32"/>
          <w:szCs w:val="32"/>
        </w:rPr>
        <w:t>1</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184.55</w:t>
      </w:r>
      <w:r>
        <w:rPr>
          <w:rFonts w:ascii="Times New Roman" w:eastAsia="仿宋_GB2312" w:hAnsi="Times New Roman" w:cs="Times New Roman"/>
          <w:kern w:val="0"/>
          <w:sz w:val="32"/>
          <w:szCs w:val="32"/>
        </w:rPr>
        <w:t>万元，支出决算</w:t>
      </w:r>
      <w:r>
        <w:rPr>
          <w:rFonts w:ascii="Times New Roman" w:eastAsia="仿宋_GB2312" w:hAnsi="Times New Roman" w:cs="Times New Roman"/>
          <w:kern w:val="0"/>
          <w:sz w:val="32"/>
          <w:szCs w:val="32"/>
        </w:rPr>
        <w:t>1</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193.58</w:t>
      </w:r>
      <w:r>
        <w:rPr>
          <w:rFonts w:ascii="Times New Roman" w:eastAsia="仿宋_GB2312" w:hAnsi="Times New Roman" w:cs="Times New Roman"/>
          <w:kern w:val="0"/>
          <w:sz w:val="32"/>
          <w:szCs w:val="32"/>
        </w:rPr>
        <w:t>万元，完成年初预算的</w:t>
      </w:r>
      <w:r>
        <w:rPr>
          <w:rFonts w:ascii="Times New Roman" w:eastAsia="仿宋_GB2312" w:hAnsi="Times New Roman" w:cs="Times New Roman"/>
          <w:kern w:val="0"/>
          <w:sz w:val="32"/>
          <w:szCs w:val="32"/>
        </w:rPr>
        <w:t>100.76%</w:t>
      </w:r>
      <w:r>
        <w:rPr>
          <w:rFonts w:ascii="Times New Roman" w:eastAsia="仿宋_GB2312" w:hAnsi="Times New Roman" w:cs="Times New Roman"/>
          <w:kern w:val="0"/>
          <w:sz w:val="32"/>
          <w:szCs w:val="32"/>
        </w:rPr>
        <w:t>。决算数大于年初预算数的主要原因是</w:t>
      </w:r>
      <w:r>
        <w:rPr>
          <w:rFonts w:ascii="Times New Roman" w:eastAsia="仿宋_GB2312" w:hAnsi="Times New Roman" w:cs="Times New Roman" w:hint="eastAsia"/>
          <w:kern w:val="0"/>
          <w:sz w:val="32"/>
          <w:szCs w:val="32"/>
        </w:rPr>
        <w:t>人员经费增加</w:t>
      </w:r>
      <w:r>
        <w:rPr>
          <w:rFonts w:ascii="Times New Roman" w:eastAsia="仿宋_GB2312" w:hAnsi="Times New Roman" w:cs="Times New Roman"/>
          <w:kern w:val="0"/>
          <w:sz w:val="32"/>
          <w:szCs w:val="32"/>
        </w:rPr>
        <w:t>。</w:t>
      </w:r>
    </w:p>
    <w:bookmarkEnd w:id="8"/>
    <w:bookmarkEnd w:id="9"/>
    <w:p w14:paraId="639C3C87" w14:textId="77777777" w:rsidR="00461755" w:rsidRDefault="00B3769C">
      <w:pPr>
        <w:widowControl/>
        <w:ind w:firstLineChars="200" w:firstLine="643"/>
        <w:jc w:val="left"/>
        <w:rPr>
          <w:rFonts w:ascii="Times New Roman" w:eastAsia="仿宋_GB2312" w:hAnsi="Times New Roman" w:cs="Times New Roman"/>
          <w:b/>
          <w:bCs/>
          <w:kern w:val="0"/>
          <w:sz w:val="32"/>
          <w:szCs w:val="32"/>
        </w:rPr>
      </w:pPr>
      <w:r>
        <w:rPr>
          <w:rFonts w:ascii="Times New Roman" w:eastAsia="仿宋_GB2312" w:hAnsi="Times New Roman" w:cs="Times New Roman"/>
          <w:b/>
          <w:bCs/>
          <w:kern w:val="0"/>
          <w:sz w:val="32"/>
          <w:szCs w:val="32"/>
        </w:rPr>
        <w:t>2.</w:t>
      </w:r>
      <w:r>
        <w:rPr>
          <w:rFonts w:ascii="Times New Roman" w:eastAsia="仿宋_GB2312" w:hAnsi="Times New Roman" w:cs="Times New Roman"/>
          <w:b/>
          <w:bCs/>
          <w:kern w:val="0"/>
          <w:sz w:val="32"/>
          <w:szCs w:val="32"/>
        </w:rPr>
        <w:t>一般公共服务支出（</w:t>
      </w:r>
      <w:r>
        <w:rPr>
          <w:rFonts w:ascii="Times New Roman" w:eastAsia="仿宋_GB2312" w:hAnsi="Times New Roman" w:cs="Times New Roman" w:hint="eastAsia"/>
          <w:b/>
          <w:bCs/>
          <w:kern w:val="0"/>
          <w:sz w:val="32"/>
          <w:szCs w:val="32"/>
        </w:rPr>
        <w:t>类</w:t>
      </w:r>
      <w:r>
        <w:rPr>
          <w:rFonts w:ascii="Times New Roman" w:eastAsia="仿宋_GB2312" w:hAnsi="Times New Roman" w:cs="Times New Roman"/>
          <w:b/>
          <w:bCs/>
          <w:kern w:val="0"/>
          <w:sz w:val="32"/>
          <w:szCs w:val="32"/>
        </w:rPr>
        <w:t>）</w:t>
      </w:r>
      <w:r>
        <w:rPr>
          <w:rFonts w:ascii="Times New Roman" w:eastAsia="仿宋_GB2312" w:hAnsi="Times New Roman" w:cs="Times New Roman" w:hint="eastAsia"/>
          <w:b/>
          <w:bCs/>
          <w:kern w:val="0"/>
          <w:sz w:val="32"/>
          <w:szCs w:val="32"/>
        </w:rPr>
        <w:t>发展与改革</w:t>
      </w:r>
      <w:r>
        <w:rPr>
          <w:rFonts w:ascii="Times New Roman" w:eastAsia="仿宋_GB2312" w:hAnsi="Times New Roman" w:cs="Times New Roman"/>
          <w:b/>
          <w:bCs/>
          <w:kern w:val="0"/>
          <w:sz w:val="32"/>
          <w:szCs w:val="32"/>
        </w:rPr>
        <w:t>事务（</w:t>
      </w:r>
      <w:r>
        <w:rPr>
          <w:rFonts w:ascii="Times New Roman" w:eastAsia="仿宋_GB2312" w:hAnsi="Times New Roman" w:cs="Times New Roman" w:hint="eastAsia"/>
          <w:b/>
          <w:bCs/>
          <w:kern w:val="0"/>
          <w:sz w:val="32"/>
          <w:szCs w:val="32"/>
        </w:rPr>
        <w:t>款</w:t>
      </w:r>
      <w:r>
        <w:rPr>
          <w:rFonts w:ascii="Times New Roman" w:eastAsia="仿宋_GB2312" w:hAnsi="Times New Roman" w:cs="Times New Roman"/>
          <w:b/>
          <w:bCs/>
          <w:kern w:val="0"/>
          <w:sz w:val="32"/>
          <w:szCs w:val="32"/>
        </w:rPr>
        <w:t>）</w:t>
      </w:r>
      <w:r>
        <w:rPr>
          <w:rFonts w:ascii="Times New Roman" w:eastAsia="仿宋_GB2312" w:hAnsi="Times New Roman" w:cs="Times New Roman" w:hint="eastAsia"/>
          <w:b/>
          <w:bCs/>
          <w:kern w:val="0"/>
          <w:sz w:val="32"/>
          <w:szCs w:val="32"/>
        </w:rPr>
        <w:t>一般行政管理事务（项）。</w:t>
      </w:r>
    </w:p>
    <w:p w14:paraId="7BCAFB67" w14:textId="77777777" w:rsidR="00461755" w:rsidRDefault="00B3769C">
      <w:pPr>
        <w:widowControl/>
        <w:ind w:firstLineChars="200" w:firstLine="64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年初预算</w:t>
      </w:r>
      <w:r>
        <w:rPr>
          <w:rFonts w:ascii="Times New Roman" w:eastAsia="仿宋_GB2312" w:hAnsi="Times New Roman" w:cs="Times New Roman"/>
          <w:kern w:val="0"/>
          <w:sz w:val="32"/>
          <w:szCs w:val="32"/>
        </w:rPr>
        <w:t>50</w:t>
      </w:r>
      <w:r>
        <w:rPr>
          <w:rFonts w:ascii="Times New Roman" w:eastAsia="仿宋_GB2312" w:hAnsi="Times New Roman" w:cs="Times New Roman"/>
          <w:kern w:val="0"/>
          <w:sz w:val="32"/>
          <w:szCs w:val="32"/>
        </w:rPr>
        <w:t>万元，支出决算</w:t>
      </w:r>
      <w:r>
        <w:rPr>
          <w:rFonts w:ascii="Times New Roman" w:eastAsia="仿宋_GB2312" w:hAnsi="Times New Roman" w:cs="Times New Roman"/>
          <w:kern w:val="0"/>
          <w:sz w:val="32"/>
          <w:szCs w:val="32"/>
        </w:rPr>
        <w:t>50</w:t>
      </w:r>
      <w:r>
        <w:rPr>
          <w:rFonts w:ascii="Times New Roman" w:eastAsia="仿宋_GB2312" w:hAnsi="Times New Roman" w:cs="Times New Roman"/>
          <w:kern w:val="0"/>
          <w:sz w:val="32"/>
          <w:szCs w:val="32"/>
        </w:rPr>
        <w:t>万元，完成年初预算的</w:t>
      </w:r>
      <w:r>
        <w:rPr>
          <w:rFonts w:ascii="Times New Roman" w:eastAsia="仿宋_GB2312" w:hAnsi="Times New Roman" w:cs="Times New Roman"/>
          <w:kern w:val="0"/>
          <w:sz w:val="32"/>
          <w:szCs w:val="32"/>
        </w:rPr>
        <w:t>100%</w:t>
      </w:r>
      <w:r>
        <w:rPr>
          <w:rFonts w:ascii="Times New Roman" w:eastAsia="仿宋_GB2312" w:hAnsi="Times New Roman" w:cs="Times New Roman"/>
          <w:kern w:val="0"/>
          <w:sz w:val="32"/>
          <w:szCs w:val="32"/>
        </w:rPr>
        <w:t>。</w:t>
      </w:r>
    </w:p>
    <w:p w14:paraId="351BA1FE" w14:textId="77777777" w:rsidR="00461755" w:rsidRDefault="00B3769C">
      <w:pPr>
        <w:widowControl/>
        <w:ind w:firstLineChars="200" w:firstLine="643"/>
        <w:jc w:val="left"/>
        <w:rPr>
          <w:rFonts w:ascii="仿宋_GB2312" w:eastAsia="仿宋_GB2312" w:hAnsi="宋体" w:cs="仿宋_GB2312"/>
          <w:kern w:val="0"/>
          <w:sz w:val="32"/>
          <w:szCs w:val="32"/>
        </w:rPr>
      </w:pPr>
      <w:r>
        <w:rPr>
          <w:rFonts w:ascii="Times New Roman" w:eastAsia="仿宋_GB2312" w:hAnsi="Times New Roman" w:cs="Times New Roman" w:hint="eastAsia"/>
          <w:b/>
          <w:bCs/>
          <w:kern w:val="0"/>
          <w:sz w:val="32"/>
          <w:szCs w:val="32"/>
        </w:rPr>
        <w:t>3</w:t>
      </w:r>
      <w:r>
        <w:rPr>
          <w:rFonts w:ascii="Times New Roman" w:eastAsia="仿宋_GB2312" w:hAnsi="Times New Roman" w:cs="Times New Roman"/>
          <w:b/>
          <w:bCs/>
          <w:kern w:val="0"/>
          <w:sz w:val="32"/>
          <w:szCs w:val="32"/>
        </w:rPr>
        <w:t>.</w:t>
      </w:r>
      <w:r>
        <w:rPr>
          <w:rFonts w:ascii="仿宋_GB2312" w:eastAsia="仿宋_GB2312" w:hAnsi="宋体" w:cs="仿宋_GB2312" w:hint="eastAsia"/>
          <w:b/>
          <w:bCs/>
          <w:kern w:val="0"/>
          <w:sz w:val="32"/>
          <w:szCs w:val="32"/>
        </w:rPr>
        <w:t>一般公共服务支出（类）商贸事务（款）招商引资（项）。</w:t>
      </w:r>
    </w:p>
    <w:p w14:paraId="0022659E" w14:textId="77777777" w:rsidR="00461755" w:rsidRDefault="00B3769C">
      <w:pPr>
        <w:widowControl/>
        <w:ind w:firstLineChars="200" w:firstLine="640"/>
        <w:jc w:val="left"/>
        <w:rPr>
          <w:rFonts w:ascii="Times New Roman" w:eastAsia="仿宋_GB2312" w:hAnsi="Times New Roman" w:cs="Times New Roman"/>
          <w:iCs/>
          <w:kern w:val="0"/>
          <w:sz w:val="32"/>
          <w:szCs w:val="32"/>
        </w:rPr>
      </w:pPr>
      <w:bookmarkStart w:id="10" w:name="OLE_LINK10"/>
      <w:bookmarkStart w:id="11" w:name="OLE_LINK9"/>
      <w:r>
        <w:rPr>
          <w:rFonts w:ascii="Times New Roman" w:eastAsia="仿宋_GB2312" w:hAnsi="Times New Roman" w:cs="Times New Roman" w:hint="eastAsia"/>
          <w:iCs/>
          <w:kern w:val="0"/>
          <w:sz w:val="32"/>
          <w:szCs w:val="32"/>
        </w:rPr>
        <w:lastRenderedPageBreak/>
        <w:t>支出决算</w:t>
      </w:r>
      <w:r>
        <w:rPr>
          <w:rFonts w:ascii="Times New Roman" w:eastAsia="仿宋_GB2312" w:hAnsi="Times New Roman" w:cs="Times New Roman"/>
          <w:iCs/>
          <w:kern w:val="0"/>
          <w:sz w:val="32"/>
          <w:szCs w:val="32"/>
        </w:rPr>
        <w:t>0.77</w:t>
      </w:r>
      <w:r>
        <w:rPr>
          <w:rFonts w:ascii="Times New Roman" w:eastAsia="仿宋_GB2312" w:hAnsi="Times New Roman" w:cs="Times New Roman" w:hint="eastAsia"/>
          <w:iCs/>
          <w:kern w:val="0"/>
          <w:sz w:val="32"/>
          <w:szCs w:val="32"/>
        </w:rPr>
        <w:t>万元，年初预算为零，新增主要原因是</w:t>
      </w:r>
      <w:r>
        <w:rPr>
          <w:rFonts w:ascii="Times New Roman" w:eastAsia="仿宋_GB2312" w:hAnsi="Times New Roman" w:cs="Times New Roman"/>
          <w:iCs/>
          <w:kern w:val="0"/>
          <w:sz w:val="32"/>
          <w:szCs w:val="32"/>
        </w:rPr>
        <w:t>2023</w:t>
      </w:r>
      <w:r>
        <w:rPr>
          <w:rFonts w:ascii="Times New Roman" w:eastAsia="仿宋_GB2312" w:hAnsi="Times New Roman" w:cs="Times New Roman" w:hint="eastAsia"/>
          <w:iCs/>
          <w:kern w:val="0"/>
          <w:sz w:val="32"/>
          <w:szCs w:val="32"/>
        </w:rPr>
        <w:t>年结转的招商引资工作经费在当年继续使用。</w:t>
      </w:r>
      <w:bookmarkEnd w:id="10"/>
      <w:bookmarkEnd w:id="11"/>
    </w:p>
    <w:p w14:paraId="42A117CB" w14:textId="77777777" w:rsidR="00461755" w:rsidRDefault="00B3769C">
      <w:pPr>
        <w:spacing w:line="560" w:lineRule="exact"/>
        <w:ind w:firstLineChars="200" w:firstLine="643"/>
        <w:rPr>
          <w:rFonts w:ascii="仿宋_GB2312" w:eastAsia="仿宋_GB2312" w:hAnsi="宋体" w:cs="仿宋_GB2312"/>
          <w:b/>
          <w:bCs/>
          <w:kern w:val="0"/>
          <w:sz w:val="32"/>
          <w:szCs w:val="32"/>
        </w:rPr>
      </w:pPr>
      <w:r>
        <w:rPr>
          <w:rFonts w:ascii="仿宋_GB2312" w:eastAsia="仿宋_GB2312" w:hAnsi="宋体" w:cs="仿宋_GB2312"/>
          <w:b/>
          <w:bCs/>
          <w:kern w:val="0"/>
          <w:sz w:val="32"/>
          <w:szCs w:val="32"/>
        </w:rPr>
        <w:t>4.</w:t>
      </w:r>
      <w:r>
        <w:rPr>
          <w:rFonts w:ascii="仿宋_GB2312" w:eastAsia="仿宋_GB2312" w:hAnsi="宋体" w:cs="仿宋_GB2312" w:hint="eastAsia"/>
          <w:b/>
          <w:bCs/>
          <w:kern w:val="0"/>
          <w:sz w:val="32"/>
          <w:szCs w:val="32"/>
        </w:rPr>
        <w:t>社会保障和就业支出（类）行政事业单位养老支出（款）行政单位离退休（项）。</w:t>
      </w:r>
    </w:p>
    <w:p w14:paraId="391AA5D5" w14:textId="77777777" w:rsidR="00461755" w:rsidRDefault="00B3769C">
      <w:pPr>
        <w:widowControl/>
        <w:ind w:firstLineChars="200" w:firstLine="64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年初预算</w:t>
      </w:r>
      <w:r>
        <w:rPr>
          <w:rFonts w:ascii="Times New Roman" w:eastAsia="仿宋_GB2312" w:hAnsi="Times New Roman" w:cs="Times New Roman"/>
          <w:kern w:val="0"/>
          <w:sz w:val="32"/>
          <w:szCs w:val="32"/>
        </w:rPr>
        <w:t>22.02</w:t>
      </w:r>
      <w:r>
        <w:rPr>
          <w:rFonts w:ascii="Times New Roman" w:eastAsia="仿宋_GB2312" w:hAnsi="Times New Roman" w:cs="Times New Roman"/>
          <w:kern w:val="0"/>
          <w:sz w:val="32"/>
          <w:szCs w:val="32"/>
        </w:rPr>
        <w:t>万元，支出决算</w:t>
      </w:r>
      <w:r>
        <w:rPr>
          <w:rFonts w:ascii="Times New Roman" w:eastAsia="仿宋_GB2312" w:hAnsi="Times New Roman" w:cs="Times New Roman"/>
          <w:kern w:val="0"/>
          <w:sz w:val="32"/>
          <w:szCs w:val="32"/>
        </w:rPr>
        <w:t>23.85</w:t>
      </w:r>
      <w:r>
        <w:rPr>
          <w:rFonts w:ascii="Times New Roman" w:eastAsia="仿宋_GB2312" w:hAnsi="Times New Roman" w:cs="Times New Roman"/>
          <w:kern w:val="0"/>
          <w:sz w:val="32"/>
          <w:szCs w:val="32"/>
        </w:rPr>
        <w:t>万元，完成年初预算的</w:t>
      </w:r>
      <w:r>
        <w:rPr>
          <w:rFonts w:ascii="Times New Roman" w:eastAsia="仿宋_GB2312" w:hAnsi="Times New Roman" w:cs="Times New Roman"/>
          <w:kern w:val="0"/>
          <w:sz w:val="32"/>
          <w:szCs w:val="32"/>
        </w:rPr>
        <w:t>108.31%</w:t>
      </w:r>
      <w:r>
        <w:rPr>
          <w:rFonts w:ascii="Times New Roman" w:eastAsia="仿宋_GB2312" w:hAnsi="Times New Roman" w:cs="Times New Roman"/>
          <w:kern w:val="0"/>
          <w:sz w:val="32"/>
          <w:szCs w:val="32"/>
        </w:rPr>
        <w:t>。决算数大于年初预算数的主要原因是</w:t>
      </w:r>
      <w:r>
        <w:rPr>
          <w:rFonts w:ascii="Times New Roman" w:eastAsia="仿宋_GB2312" w:hAnsi="Times New Roman" w:cs="Times New Roman" w:hint="eastAsia"/>
          <w:kern w:val="0"/>
          <w:sz w:val="32"/>
          <w:szCs w:val="32"/>
        </w:rPr>
        <w:t>离休人员月离休费增加</w:t>
      </w:r>
      <w:r>
        <w:rPr>
          <w:rFonts w:ascii="Times New Roman" w:eastAsia="仿宋_GB2312" w:hAnsi="Times New Roman" w:cs="Times New Roman"/>
          <w:kern w:val="0"/>
          <w:sz w:val="32"/>
          <w:szCs w:val="32"/>
        </w:rPr>
        <w:t>。</w:t>
      </w:r>
    </w:p>
    <w:p w14:paraId="4E58B17F" w14:textId="77777777" w:rsidR="00461755" w:rsidRDefault="00B3769C">
      <w:pPr>
        <w:numPr>
          <w:ilvl w:val="0"/>
          <w:numId w:val="2"/>
        </w:numPr>
        <w:spacing w:line="560" w:lineRule="exact"/>
        <w:ind w:firstLineChars="200" w:firstLine="643"/>
        <w:rPr>
          <w:rFonts w:ascii="仿宋_GB2312" w:eastAsia="仿宋_GB2312" w:hAnsi="宋体" w:cs="仿宋_GB2312"/>
          <w:b/>
          <w:bCs/>
          <w:kern w:val="0"/>
          <w:sz w:val="32"/>
          <w:szCs w:val="32"/>
        </w:rPr>
      </w:pPr>
      <w:r>
        <w:rPr>
          <w:rFonts w:ascii="仿宋_GB2312" w:eastAsia="仿宋_GB2312" w:hAnsi="宋体" w:cs="仿宋_GB2312" w:hint="eastAsia"/>
          <w:b/>
          <w:bCs/>
          <w:kern w:val="0"/>
          <w:sz w:val="32"/>
          <w:szCs w:val="32"/>
        </w:rPr>
        <w:t>社会保障和就业支出（类）行政事业单位养老支出（款）机关事业单位基本养老保险缴费支出（项）。</w:t>
      </w:r>
    </w:p>
    <w:p w14:paraId="3B9E3C2A" w14:textId="77777777" w:rsidR="00461755" w:rsidRDefault="00B3769C">
      <w:pPr>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年初预算</w:t>
      </w:r>
      <w:r>
        <w:rPr>
          <w:rFonts w:ascii="Times New Roman" w:eastAsia="仿宋_GB2312" w:hAnsi="Times New Roman" w:cs="Times New Roman"/>
          <w:kern w:val="0"/>
          <w:sz w:val="32"/>
          <w:szCs w:val="32"/>
        </w:rPr>
        <w:t>151.64</w:t>
      </w:r>
      <w:r>
        <w:rPr>
          <w:rFonts w:ascii="Times New Roman" w:eastAsia="仿宋_GB2312" w:hAnsi="Times New Roman" w:cs="Times New Roman"/>
          <w:kern w:val="0"/>
          <w:sz w:val="32"/>
          <w:szCs w:val="32"/>
        </w:rPr>
        <w:t>万元，支出决算</w:t>
      </w:r>
      <w:r>
        <w:rPr>
          <w:rFonts w:ascii="Times New Roman" w:eastAsia="仿宋_GB2312" w:hAnsi="Times New Roman" w:cs="Times New Roman"/>
          <w:kern w:val="0"/>
          <w:sz w:val="32"/>
          <w:szCs w:val="32"/>
        </w:rPr>
        <w:t>152.56</w:t>
      </w:r>
      <w:r>
        <w:rPr>
          <w:rFonts w:ascii="Times New Roman" w:eastAsia="仿宋_GB2312" w:hAnsi="Times New Roman" w:cs="Times New Roman"/>
          <w:kern w:val="0"/>
          <w:sz w:val="32"/>
          <w:szCs w:val="32"/>
        </w:rPr>
        <w:t>万元，完成年初预算的</w:t>
      </w:r>
      <w:r>
        <w:rPr>
          <w:rFonts w:ascii="Times New Roman" w:eastAsia="仿宋_GB2312" w:hAnsi="Times New Roman" w:cs="Times New Roman"/>
          <w:kern w:val="0"/>
          <w:sz w:val="32"/>
          <w:szCs w:val="32"/>
        </w:rPr>
        <w:t>100.61%</w:t>
      </w:r>
      <w:r>
        <w:rPr>
          <w:rFonts w:ascii="Times New Roman" w:eastAsia="仿宋_GB2312" w:hAnsi="Times New Roman" w:cs="Times New Roman"/>
          <w:kern w:val="0"/>
          <w:sz w:val="32"/>
          <w:szCs w:val="32"/>
        </w:rPr>
        <w:t>。决算数大于年初预算数的主要原因是</w:t>
      </w:r>
      <w:r>
        <w:rPr>
          <w:rFonts w:ascii="Times New Roman" w:eastAsia="仿宋_GB2312" w:hAnsi="Times New Roman" w:cs="Times New Roman" w:hint="eastAsia"/>
          <w:kern w:val="0"/>
          <w:sz w:val="32"/>
          <w:szCs w:val="32"/>
        </w:rPr>
        <w:t>人员工资收入增加，基数调整</w:t>
      </w:r>
      <w:r>
        <w:rPr>
          <w:rFonts w:ascii="Times New Roman" w:eastAsia="仿宋_GB2312" w:hAnsi="Times New Roman" w:cs="Times New Roman"/>
          <w:kern w:val="0"/>
          <w:sz w:val="32"/>
          <w:szCs w:val="32"/>
        </w:rPr>
        <w:t>。</w:t>
      </w:r>
    </w:p>
    <w:p w14:paraId="4076E7BB" w14:textId="77777777" w:rsidR="00461755" w:rsidRDefault="00B3769C">
      <w:pPr>
        <w:widowControl/>
        <w:ind w:firstLineChars="200" w:firstLine="643"/>
        <w:jc w:val="left"/>
        <w:rPr>
          <w:rFonts w:ascii="仿宋_GB2312" w:eastAsia="仿宋_GB2312" w:hAnsi="宋体" w:cs="仿宋_GB2312"/>
          <w:b/>
          <w:bCs/>
          <w:kern w:val="0"/>
          <w:sz w:val="32"/>
          <w:szCs w:val="32"/>
        </w:rPr>
      </w:pPr>
      <w:r>
        <w:rPr>
          <w:rFonts w:ascii="仿宋_GB2312" w:eastAsia="仿宋_GB2312" w:hAnsi="宋体" w:cs="仿宋_GB2312" w:hint="eastAsia"/>
          <w:b/>
          <w:bCs/>
          <w:kern w:val="0"/>
          <w:sz w:val="32"/>
          <w:szCs w:val="32"/>
        </w:rPr>
        <w:t>6</w:t>
      </w:r>
      <w:r>
        <w:rPr>
          <w:rFonts w:ascii="仿宋_GB2312" w:eastAsia="仿宋_GB2312" w:hAnsi="宋体" w:cs="仿宋_GB2312"/>
          <w:b/>
          <w:bCs/>
          <w:kern w:val="0"/>
          <w:sz w:val="32"/>
          <w:szCs w:val="32"/>
        </w:rPr>
        <w:t>.</w:t>
      </w:r>
      <w:r>
        <w:rPr>
          <w:rFonts w:ascii="仿宋_GB2312" w:eastAsia="仿宋_GB2312" w:hAnsi="宋体" w:cs="仿宋_GB2312" w:hint="eastAsia"/>
          <w:b/>
          <w:bCs/>
          <w:kern w:val="0"/>
          <w:sz w:val="32"/>
          <w:szCs w:val="32"/>
        </w:rPr>
        <w:t xml:space="preserve"> </w:t>
      </w:r>
      <w:bookmarkStart w:id="12" w:name="OLE_LINK8"/>
      <w:bookmarkStart w:id="13" w:name="OLE_LINK7"/>
      <w:r>
        <w:rPr>
          <w:rFonts w:ascii="仿宋_GB2312" w:eastAsia="仿宋_GB2312" w:hAnsi="宋体" w:cs="仿宋_GB2312" w:hint="eastAsia"/>
          <w:b/>
          <w:bCs/>
          <w:kern w:val="0"/>
          <w:sz w:val="32"/>
          <w:szCs w:val="32"/>
        </w:rPr>
        <w:t>社会保障和就业支出（类）</w:t>
      </w:r>
      <w:bookmarkEnd w:id="12"/>
      <w:bookmarkEnd w:id="13"/>
      <w:r>
        <w:rPr>
          <w:rFonts w:ascii="仿宋_GB2312" w:eastAsia="仿宋_GB2312" w:hAnsi="宋体" w:cs="仿宋_GB2312" w:hint="eastAsia"/>
          <w:b/>
          <w:bCs/>
          <w:kern w:val="0"/>
          <w:sz w:val="32"/>
          <w:szCs w:val="32"/>
        </w:rPr>
        <w:t>行政事业单位养老支出（款）机关事业单位职业年金缴费支出（项）。</w:t>
      </w:r>
    </w:p>
    <w:p w14:paraId="2CA4CDEC" w14:textId="77777777" w:rsidR="00461755" w:rsidRDefault="00B3769C">
      <w:pPr>
        <w:widowControl/>
        <w:ind w:firstLineChars="200" w:firstLine="64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年初预算</w:t>
      </w:r>
      <w:r>
        <w:rPr>
          <w:rFonts w:ascii="Times New Roman" w:eastAsia="仿宋_GB2312" w:hAnsi="Times New Roman" w:cs="Times New Roman"/>
          <w:kern w:val="0"/>
          <w:sz w:val="32"/>
          <w:szCs w:val="32"/>
        </w:rPr>
        <w:t>75.82</w:t>
      </w:r>
      <w:r>
        <w:rPr>
          <w:rFonts w:ascii="Times New Roman" w:eastAsia="仿宋_GB2312" w:hAnsi="Times New Roman" w:cs="Times New Roman"/>
          <w:kern w:val="0"/>
          <w:sz w:val="32"/>
          <w:szCs w:val="32"/>
        </w:rPr>
        <w:t>万元，支出决算</w:t>
      </w:r>
      <w:r>
        <w:rPr>
          <w:rFonts w:ascii="Times New Roman" w:eastAsia="仿宋_GB2312" w:hAnsi="Times New Roman" w:cs="Times New Roman"/>
          <w:kern w:val="0"/>
          <w:sz w:val="32"/>
          <w:szCs w:val="32"/>
        </w:rPr>
        <w:t>76.28</w:t>
      </w:r>
      <w:r>
        <w:rPr>
          <w:rFonts w:ascii="Times New Roman" w:eastAsia="仿宋_GB2312" w:hAnsi="Times New Roman" w:cs="Times New Roman"/>
          <w:kern w:val="0"/>
          <w:sz w:val="32"/>
          <w:szCs w:val="32"/>
        </w:rPr>
        <w:t>万元，完成年初预算的</w:t>
      </w:r>
      <w:r>
        <w:rPr>
          <w:rFonts w:ascii="Times New Roman" w:eastAsia="仿宋_GB2312" w:hAnsi="Times New Roman" w:cs="Times New Roman"/>
          <w:kern w:val="0"/>
          <w:sz w:val="32"/>
          <w:szCs w:val="32"/>
        </w:rPr>
        <w:t>100.61%</w:t>
      </w:r>
      <w:r>
        <w:rPr>
          <w:rFonts w:ascii="Times New Roman" w:eastAsia="仿宋_GB2312" w:hAnsi="Times New Roman" w:cs="Times New Roman"/>
          <w:kern w:val="0"/>
          <w:sz w:val="32"/>
          <w:szCs w:val="32"/>
        </w:rPr>
        <w:t>。决算数大于年初预算数的主要原因是</w:t>
      </w:r>
      <w:r>
        <w:rPr>
          <w:rFonts w:ascii="Times New Roman" w:eastAsia="仿宋_GB2312" w:hAnsi="Times New Roman" w:cs="Times New Roman" w:hint="eastAsia"/>
          <w:kern w:val="0"/>
          <w:sz w:val="32"/>
          <w:szCs w:val="32"/>
        </w:rPr>
        <w:t>人员工资收入增加，基数调整</w:t>
      </w:r>
      <w:r>
        <w:rPr>
          <w:rFonts w:ascii="Times New Roman" w:eastAsia="仿宋_GB2312" w:hAnsi="Times New Roman" w:cs="Times New Roman"/>
          <w:kern w:val="0"/>
          <w:sz w:val="32"/>
          <w:szCs w:val="32"/>
        </w:rPr>
        <w:t>。</w:t>
      </w:r>
    </w:p>
    <w:p w14:paraId="497C9A2B" w14:textId="77777777" w:rsidR="00461755" w:rsidRDefault="00B3769C">
      <w:pPr>
        <w:spacing w:line="560" w:lineRule="exact"/>
        <w:ind w:firstLineChars="200" w:firstLine="643"/>
        <w:rPr>
          <w:rFonts w:ascii="仿宋_GB2312" w:eastAsia="仿宋_GB2312" w:hAnsi="宋体" w:cs="仿宋_GB2312"/>
          <w:b/>
          <w:bCs/>
          <w:kern w:val="0"/>
          <w:sz w:val="32"/>
          <w:szCs w:val="32"/>
        </w:rPr>
      </w:pPr>
      <w:r>
        <w:rPr>
          <w:rFonts w:ascii="仿宋_GB2312" w:eastAsia="仿宋_GB2312" w:hAnsi="宋体" w:cs="仿宋_GB2312" w:hint="eastAsia"/>
          <w:b/>
          <w:bCs/>
          <w:kern w:val="0"/>
          <w:sz w:val="32"/>
          <w:szCs w:val="32"/>
        </w:rPr>
        <w:t>7</w:t>
      </w:r>
      <w:r>
        <w:rPr>
          <w:rFonts w:ascii="仿宋_GB2312" w:eastAsia="仿宋_GB2312" w:hAnsi="宋体" w:cs="仿宋_GB2312"/>
          <w:b/>
          <w:bCs/>
          <w:kern w:val="0"/>
          <w:sz w:val="32"/>
          <w:szCs w:val="32"/>
        </w:rPr>
        <w:t>.</w:t>
      </w:r>
      <w:r>
        <w:rPr>
          <w:rFonts w:ascii="仿宋_GB2312" w:eastAsia="仿宋_GB2312" w:hAnsi="宋体" w:cs="仿宋_GB2312" w:hint="eastAsia"/>
          <w:b/>
          <w:bCs/>
          <w:kern w:val="0"/>
          <w:sz w:val="32"/>
          <w:szCs w:val="32"/>
        </w:rPr>
        <w:t xml:space="preserve"> 社会保障和就业支出（类）就业补助（款）就业见习补贴（项）。</w:t>
      </w:r>
    </w:p>
    <w:p w14:paraId="4C334FBE" w14:textId="77777777" w:rsidR="00461755" w:rsidRDefault="00B3769C">
      <w:pPr>
        <w:widowControl/>
        <w:ind w:firstLineChars="200" w:firstLine="640"/>
        <w:jc w:val="left"/>
        <w:rPr>
          <w:rFonts w:ascii="仿宋_GB2312" w:eastAsia="仿宋_GB2312" w:hAnsi="宋体" w:cs="仿宋_GB2312"/>
          <w:kern w:val="0"/>
          <w:sz w:val="32"/>
          <w:szCs w:val="32"/>
        </w:rPr>
      </w:pPr>
      <w:bookmarkStart w:id="14" w:name="OLE_LINK13"/>
      <w:r>
        <w:rPr>
          <w:rFonts w:ascii="Times New Roman" w:eastAsia="仿宋_GB2312" w:hAnsi="Times New Roman" w:cs="Times New Roman" w:hint="eastAsia"/>
          <w:iCs/>
          <w:kern w:val="0"/>
          <w:sz w:val="32"/>
          <w:szCs w:val="32"/>
        </w:rPr>
        <w:t>支出决算</w:t>
      </w:r>
      <w:r>
        <w:rPr>
          <w:rFonts w:ascii="Times New Roman" w:eastAsia="仿宋_GB2312" w:hAnsi="Times New Roman" w:cs="Times New Roman"/>
          <w:iCs/>
          <w:kern w:val="0"/>
          <w:sz w:val="32"/>
          <w:szCs w:val="32"/>
        </w:rPr>
        <w:t>8.64</w:t>
      </w:r>
      <w:r>
        <w:rPr>
          <w:rFonts w:ascii="Times New Roman" w:eastAsia="仿宋_GB2312" w:hAnsi="Times New Roman" w:cs="Times New Roman" w:hint="eastAsia"/>
          <w:iCs/>
          <w:kern w:val="0"/>
          <w:sz w:val="32"/>
          <w:szCs w:val="32"/>
        </w:rPr>
        <w:t>万元，年初预算为零，新增主要原因是追加见习生就业见习补贴。</w:t>
      </w:r>
    </w:p>
    <w:bookmarkEnd w:id="14"/>
    <w:p w14:paraId="678709FB" w14:textId="77777777" w:rsidR="00461755" w:rsidRDefault="00B3769C">
      <w:pPr>
        <w:spacing w:line="560" w:lineRule="exact"/>
        <w:ind w:firstLineChars="200" w:firstLine="643"/>
        <w:rPr>
          <w:rFonts w:ascii="仿宋_GB2312" w:eastAsia="仿宋_GB2312" w:hAnsi="宋体" w:cs="仿宋_GB2312"/>
          <w:b/>
          <w:bCs/>
          <w:kern w:val="0"/>
          <w:sz w:val="32"/>
          <w:szCs w:val="32"/>
        </w:rPr>
      </w:pPr>
      <w:r>
        <w:rPr>
          <w:rFonts w:ascii="仿宋_GB2312" w:eastAsia="仿宋_GB2312" w:hAnsi="宋体" w:cs="仿宋_GB2312" w:hint="eastAsia"/>
          <w:b/>
          <w:bCs/>
          <w:kern w:val="0"/>
          <w:sz w:val="32"/>
          <w:szCs w:val="32"/>
        </w:rPr>
        <w:t>8</w:t>
      </w:r>
      <w:r>
        <w:rPr>
          <w:rFonts w:ascii="仿宋_GB2312" w:eastAsia="仿宋_GB2312" w:hAnsi="宋体" w:cs="仿宋_GB2312"/>
          <w:b/>
          <w:bCs/>
          <w:kern w:val="0"/>
          <w:sz w:val="32"/>
          <w:szCs w:val="32"/>
        </w:rPr>
        <w:t>.</w:t>
      </w:r>
      <w:r>
        <w:rPr>
          <w:rFonts w:ascii="仿宋_GB2312" w:eastAsia="仿宋_GB2312" w:hAnsi="宋体" w:cs="仿宋_GB2312" w:hint="eastAsia"/>
          <w:b/>
          <w:bCs/>
          <w:kern w:val="0"/>
          <w:sz w:val="32"/>
          <w:szCs w:val="32"/>
        </w:rPr>
        <w:t>卫生健康支出（类）行政事业单位医疗（款）行政单位医疗（项</w:t>
      </w:r>
      <w:r>
        <w:rPr>
          <w:rFonts w:ascii="仿宋_GB2312" w:eastAsia="仿宋_GB2312" w:hAnsi="宋体" w:cs="仿宋_GB2312"/>
          <w:b/>
          <w:bCs/>
          <w:kern w:val="0"/>
          <w:sz w:val="32"/>
          <w:szCs w:val="32"/>
        </w:rPr>
        <w:t>）</w:t>
      </w:r>
      <w:r>
        <w:rPr>
          <w:rFonts w:ascii="仿宋_GB2312" w:eastAsia="仿宋_GB2312" w:hAnsi="宋体" w:cs="仿宋_GB2312" w:hint="eastAsia"/>
          <w:b/>
          <w:bCs/>
          <w:kern w:val="0"/>
          <w:sz w:val="32"/>
          <w:szCs w:val="32"/>
        </w:rPr>
        <w:t>。</w:t>
      </w:r>
    </w:p>
    <w:p w14:paraId="4296D9D8" w14:textId="77777777" w:rsidR="00461755" w:rsidRDefault="00B3769C">
      <w:pPr>
        <w:widowControl/>
        <w:ind w:firstLineChars="200" w:firstLine="640"/>
        <w:jc w:val="left"/>
        <w:rPr>
          <w:rFonts w:ascii="Times New Roman" w:eastAsia="仿宋_GB2312" w:hAnsi="Times New Roman" w:cs="Times New Roman"/>
          <w:kern w:val="0"/>
          <w:sz w:val="32"/>
          <w:szCs w:val="32"/>
        </w:rPr>
      </w:pPr>
      <w:bookmarkStart w:id="15" w:name="OLE_LINK11"/>
      <w:bookmarkStart w:id="16" w:name="OLE_LINK12"/>
      <w:r>
        <w:rPr>
          <w:rFonts w:ascii="Times New Roman" w:eastAsia="仿宋_GB2312" w:hAnsi="Times New Roman" w:cs="Times New Roman"/>
          <w:kern w:val="0"/>
          <w:sz w:val="32"/>
          <w:szCs w:val="32"/>
        </w:rPr>
        <w:lastRenderedPageBreak/>
        <w:t>年初预算</w:t>
      </w:r>
      <w:r>
        <w:rPr>
          <w:rFonts w:ascii="Times New Roman" w:eastAsia="仿宋_GB2312" w:hAnsi="Times New Roman" w:cs="Times New Roman"/>
          <w:kern w:val="0"/>
          <w:sz w:val="32"/>
          <w:szCs w:val="32"/>
        </w:rPr>
        <w:t>50.02</w:t>
      </w:r>
      <w:r>
        <w:rPr>
          <w:rFonts w:ascii="Times New Roman" w:eastAsia="仿宋_GB2312" w:hAnsi="Times New Roman" w:cs="Times New Roman"/>
          <w:kern w:val="0"/>
          <w:sz w:val="32"/>
          <w:szCs w:val="32"/>
        </w:rPr>
        <w:t>万元，支出决算</w:t>
      </w:r>
      <w:r>
        <w:rPr>
          <w:rFonts w:ascii="Times New Roman" w:eastAsia="仿宋_GB2312" w:hAnsi="Times New Roman" w:cs="Times New Roman"/>
          <w:kern w:val="0"/>
          <w:sz w:val="32"/>
          <w:szCs w:val="32"/>
        </w:rPr>
        <w:t>53.74</w:t>
      </w:r>
      <w:r>
        <w:rPr>
          <w:rFonts w:ascii="Times New Roman" w:eastAsia="仿宋_GB2312" w:hAnsi="Times New Roman" w:cs="Times New Roman"/>
          <w:kern w:val="0"/>
          <w:sz w:val="32"/>
          <w:szCs w:val="32"/>
        </w:rPr>
        <w:t>万元，完成年初预算的</w:t>
      </w:r>
      <w:r>
        <w:rPr>
          <w:rFonts w:ascii="Times New Roman" w:eastAsia="仿宋_GB2312" w:hAnsi="Times New Roman" w:cs="Times New Roman"/>
          <w:kern w:val="0"/>
          <w:sz w:val="32"/>
          <w:szCs w:val="32"/>
        </w:rPr>
        <w:t>107.44%</w:t>
      </w:r>
      <w:r>
        <w:rPr>
          <w:rFonts w:ascii="Times New Roman" w:eastAsia="仿宋_GB2312" w:hAnsi="Times New Roman" w:cs="Times New Roman"/>
          <w:kern w:val="0"/>
          <w:sz w:val="32"/>
          <w:szCs w:val="32"/>
        </w:rPr>
        <w:t>。决算数大于年初预算数的主要原因是</w:t>
      </w:r>
      <w:r>
        <w:rPr>
          <w:rFonts w:ascii="Times New Roman" w:eastAsia="仿宋_GB2312" w:hAnsi="Times New Roman" w:cs="Times New Roman" w:hint="eastAsia"/>
          <w:kern w:val="0"/>
          <w:sz w:val="32"/>
          <w:szCs w:val="32"/>
        </w:rPr>
        <w:t>人员工资收入增加，基数调整</w:t>
      </w:r>
      <w:r>
        <w:rPr>
          <w:rFonts w:ascii="Times New Roman" w:eastAsia="仿宋_GB2312" w:hAnsi="Times New Roman" w:cs="Times New Roman"/>
          <w:kern w:val="0"/>
          <w:sz w:val="32"/>
          <w:szCs w:val="32"/>
        </w:rPr>
        <w:t>。</w:t>
      </w:r>
    </w:p>
    <w:bookmarkEnd w:id="15"/>
    <w:bookmarkEnd w:id="16"/>
    <w:p w14:paraId="30301062" w14:textId="77777777" w:rsidR="00461755" w:rsidRDefault="00B3769C">
      <w:pPr>
        <w:spacing w:line="560" w:lineRule="exact"/>
        <w:ind w:firstLineChars="200" w:firstLine="643"/>
        <w:rPr>
          <w:rFonts w:ascii="仿宋_GB2312" w:eastAsia="仿宋_GB2312" w:hAnsi="宋体" w:cs="仿宋_GB2312"/>
          <w:b/>
          <w:bCs/>
          <w:kern w:val="0"/>
          <w:sz w:val="32"/>
          <w:szCs w:val="32"/>
        </w:rPr>
      </w:pPr>
      <w:r>
        <w:rPr>
          <w:rFonts w:ascii="仿宋_GB2312" w:eastAsia="仿宋_GB2312" w:hAnsi="宋体" w:cs="仿宋_GB2312"/>
          <w:b/>
          <w:bCs/>
          <w:kern w:val="0"/>
          <w:sz w:val="32"/>
          <w:szCs w:val="32"/>
        </w:rPr>
        <w:t>9.</w:t>
      </w:r>
      <w:r>
        <w:rPr>
          <w:rFonts w:ascii="仿宋_GB2312" w:eastAsia="仿宋_GB2312" w:hAnsi="宋体" w:cs="仿宋_GB2312" w:hint="eastAsia"/>
          <w:b/>
          <w:bCs/>
          <w:kern w:val="0"/>
          <w:sz w:val="32"/>
          <w:szCs w:val="32"/>
        </w:rPr>
        <w:t>住房保障支出（类）住房改革支出（款）住房公积金（项）。</w:t>
      </w:r>
    </w:p>
    <w:p w14:paraId="3EF13C12" w14:textId="77777777" w:rsidR="00461755" w:rsidRDefault="00B3769C">
      <w:pPr>
        <w:widowControl/>
        <w:ind w:firstLineChars="200" w:firstLine="64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年初预算</w:t>
      </w:r>
      <w:r>
        <w:rPr>
          <w:rFonts w:ascii="Times New Roman" w:eastAsia="仿宋_GB2312" w:hAnsi="Times New Roman" w:cs="Times New Roman"/>
          <w:kern w:val="0"/>
          <w:sz w:val="32"/>
          <w:szCs w:val="32"/>
        </w:rPr>
        <w:t>123.37</w:t>
      </w:r>
      <w:r>
        <w:rPr>
          <w:rFonts w:ascii="Times New Roman" w:eastAsia="仿宋_GB2312" w:hAnsi="Times New Roman" w:cs="Times New Roman"/>
          <w:kern w:val="0"/>
          <w:sz w:val="32"/>
          <w:szCs w:val="32"/>
        </w:rPr>
        <w:t>万元，支出决算</w:t>
      </w:r>
      <w:r>
        <w:rPr>
          <w:rFonts w:ascii="Times New Roman" w:eastAsia="仿宋_GB2312" w:hAnsi="Times New Roman" w:cs="Times New Roman"/>
          <w:kern w:val="0"/>
          <w:sz w:val="32"/>
          <w:szCs w:val="32"/>
        </w:rPr>
        <w:t>124.12</w:t>
      </w:r>
      <w:r>
        <w:rPr>
          <w:rFonts w:ascii="Times New Roman" w:eastAsia="仿宋_GB2312" w:hAnsi="Times New Roman" w:cs="Times New Roman"/>
          <w:kern w:val="0"/>
          <w:sz w:val="32"/>
          <w:szCs w:val="32"/>
        </w:rPr>
        <w:t>万元，完成年初预算的</w:t>
      </w:r>
      <w:r>
        <w:rPr>
          <w:rFonts w:ascii="Times New Roman" w:eastAsia="仿宋_GB2312" w:hAnsi="Times New Roman" w:cs="Times New Roman"/>
          <w:kern w:val="0"/>
          <w:sz w:val="32"/>
          <w:szCs w:val="32"/>
        </w:rPr>
        <w:t>100.61%</w:t>
      </w:r>
      <w:r>
        <w:rPr>
          <w:rFonts w:ascii="Times New Roman" w:eastAsia="仿宋_GB2312" w:hAnsi="Times New Roman" w:cs="Times New Roman"/>
          <w:kern w:val="0"/>
          <w:sz w:val="32"/>
          <w:szCs w:val="32"/>
        </w:rPr>
        <w:t>。决算数大于年初预算数的主要原因是</w:t>
      </w:r>
      <w:r>
        <w:rPr>
          <w:rFonts w:ascii="Times New Roman" w:eastAsia="仿宋_GB2312" w:hAnsi="Times New Roman" w:cs="Times New Roman" w:hint="eastAsia"/>
          <w:kern w:val="0"/>
          <w:sz w:val="32"/>
          <w:szCs w:val="32"/>
        </w:rPr>
        <w:t>人员工资收入增加，基数调整</w:t>
      </w:r>
      <w:r>
        <w:rPr>
          <w:rFonts w:ascii="Times New Roman" w:eastAsia="仿宋_GB2312" w:hAnsi="Times New Roman" w:cs="Times New Roman"/>
          <w:kern w:val="0"/>
          <w:sz w:val="32"/>
          <w:szCs w:val="32"/>
        </w:rPr>
        <w:t>。</w:t>
      </w:r>
    </w:p>
    <w:p w14:paraId="479A486B" w14:textId="77777777" w:rsidR="00461755" w:rsidRDefault="00B3769C">
      <w:pPr>
        <w:spacing w:line="560" w:lineRule="exact"/>
        <w:ind w:firstLineChars="200" w:firstLine="643"/>
        <w:rPr>
          <w:rFonts w:ascii="仿宋_GB2312" w:eastAsia="仿宋_GB2312" w:hAnsi="宋体" w:cs="仿宋_GB2312"/>
          <w:b/>
          <w:bCs/>
          <w:kern w:val="0"/>
          <w:sz w:val="32"/>
          <w:szCs w:val="32"/>
        </w:rPr>
      </w:pPr>
      <w:r>
        <w:rPr>
          <w:rFonts w:ascii="仿宋_GB2312" w:eastAsia="仿宋_GB2312" w:hAnsi="宋体" w:cs="仿宋_GB2312" w:hint="eastAsia"/>
          <w:b/>
          <w:bCs/>
          <w:kern w:val="0"/>
          <w:sz w:val="32"/>
          <w:szCs w:val="32"/>
        </w:rPr>
        <w:t>1</w:t>
      </w:r>
      <w:r>
        <w:rPr>
          <w:rFonts w:ascii="仿宋_GB2312" w:eastAsia="仿宋_GB2312" w:hAnsi="宋体" w:cs="仿宋_GB2312"/>
          <w:b/>
          <w:bCs/>
          <w:kern w:val="0"/>
          <w:sz w:val="32"/>
          <w:szCs w:val="32"/>
        </w:rPr>
        <w:t>0.</w:t>
      </w:r>
      <w:bookmarkStart w:id="17" w:name="OLE_LINK14"/>
      <w:bookmarkStart w:id="18" w:name="OLE_LINK15"/>
      <w:r>
        <w:rPr>
          <w:rFonts w:ascii="仿宋_GB2312" w:eastAsia="仿宋_GB2312" w:hAnsi="宋体" w:cs="仿宋_GB2312" w:hint="eastAsia"/>
          <w:b/>
          <w:bCs/>
          <w:kern w:val="0"/>
          <w:sz w:val="32"/>
          <w:szCs w:val="32"/>
        </w:rPr>
        <w:t>粮油物资储备支出（类）粮油物资事务（款）</w:t>
      </w:r>
      <w:bookmarkEnd w:id="17"/>
      <w:bookmarkEnd w:id="18"/>
      <w:r>
        <w:rPr>
          <w:rFonts w:ascii="仿宋_GB2312" w:eastAsia="仿宋_GB2312" w:hAnsi="宋体" w:cs="仿宋_GB2312" w:hint="eastAsia"/>
          <w:b/>
          <w:bCs/>
          <w:kern w:val="0"/>
          <w:sz w:val="32"/>
          <w:szCs w:val="32"/>
        </w:rPr>
        <w:t>专项业务活动（项）</w:t>
      </w:r>
    </w:p>
    <w:p w14:paraId="04D90E76" w14:textId="77777777" w:rsidR="00461755" w:rsidRDefault="00B3769C">
      <w:pPr>
        <w:widowControl/>
        <w:ind w:firstLineChars="200" w:firstLine="640"/>
        <w:jc w:val="left"/>
        <w:rPr>
          <w:rFonts w:ascii="Times New Roman" w:eastAsia="仿宋_GB2312" w:hAnsi="Times New Roman" w:cs="Times New Roman"/>
          <w:iCs/>
          <w:kern w:val="0"/>
          <w:sz w:val="32"/>
          <w:szCs w:val="32"/>
        </w:rPr>
      </w:pPr>
      <w:r>
        <w:rPr>
          <w:rFonts w:ascii="Times New Roman" w:eastAsia="仿宋_GB2312" w:hAnsi="Times New Roman" w:cs="Times New Roman" w:hint="eastAsia"/>
          <w:iCs/>
          <w:kern w:val="0"/>
          <w:sz w:val="32"/>
          <w:szCs w:val="32"/>
        </w:rPr>
        <w:t>支出决算</w:t>
      </w:r>
      <w:r>
        <w:rPr>
          <w:rFonts w:ascii="Times New Roman" w:eastAsia="仿宋_GB2312" w:hAnsi="Times New Roman" w:cs="Times New Roman" w:hint="eastAsia"/>
          <w:iCs/>
          <w:kern w:val="0"/>
          <w:sz w:val="32"/>
          <w:szCs w:val="32"/>
        </w:rPr>
        <w:t>8</w:t>
      </w:r>
      <w:r>
        <w:rPr>
          <w:rFonts w:ascii="Times New Roman" w:eastAsia="仿宋_GB2312" w:hAnsi="Times New Roman" w:cs="Times New Roman" w:hint="eastAsia"/>
          <w:iCs/>
          <w:kern w:val="0"/>
          <w:sz w:val="32"/>
          <w:szCs w:val="32"/>
        </w:rPr>
        <w:t>万元，年初预算为零，新增主要原因是年中追加专项资金</w:t>
      </w:r>
    </w:p>
    <w:p w14:paraId="160C7353" w14:textId="77777777" w:rsidR="00461755" w:rsidRDefault="00B3769C">
      <w:pPr>
        <w:widowControl/>
        <w:ind w:firstLineChars="200" w:firstLine="643"/>
        <w:jc w:val="left"/>
        <w:rPr>
          <w:rFonts w:ascii="仿宋_GB2312" w:eastAsia="仿宋_GB2312" w:hAnsi="宋体" w:cs="仿宋_GB2312"/>
          <w:b/>
          <w:bCs/>
          <w:kern w:val="0"/>
          <w:sz w:val="32"/>
          <w:szCs w:val="32"/>
        </w:rPr>
      </w:pPr>
      <w:r>
        <w:rPr>
          <w:rFonts w:ascii="仿宋_GB2312" w:eastAsia="仿宋_GB2312" w:hAnsi="宋体" w:cs="仿宋_GB2312" w:hint="eastAsia"/>
          <w:b/>
          <w:bCs/>
          <w:kern w:val="0"/>
          <w:sz w:val="32"/>
          <w:szCs w:val="32"/>
        </w:rPr>
        <w:t>1</w:t>
      </w:r>
      <w:r>
        <w:rPr>
          <w:rFonts w:ascii="仿宋_GB2312" w:eastAsia="仿宋_GB2312" w:hAnsi="宋体" w:cs="仿宋_GB2312"/>
          <w:b/>
          <w:bCs/>
          <w:kern w:val="0"/>
          <w:sz w:val="32"/>
          <w:szCs w:val="32"/>
        </w:rPr>
        <w:t>1.</w:t>
      </w:r>
      <w:r>
        <w:rPr>
          <w:rFonts w:ascii="仿宋_GB2312" w:eastAsia="仿宋_GB2312" w:hAnsi="宋体" w:cs="仿宋_GB2312" w:hint="eastAsia"/>
          <w:b/>
          <w:bCs/>
          <w:kern w:val="0"/>
          <w:sz w:val="32"/>
          <w:szCs w:val="32"/>
        </w:rPr>
        <w:t>粮油物资储备支出（类）粮油物资事务（款）其他粮油物资储备事务支出（项）。</w:t>
      </w:r>
    </w:p>
    <w:p w14:paraId="76B1024D" w14:textId="77777777" w:rsidR="00461755" w:rsidRDefault="00B3769C">
      <w:pPr>
        <w:widowControl/>
        <w:ind w:firstLineChars="200" w:firstLine="640"/>
        <w:jc w:val="left"/>
        <w:rPr>
          <w:rFonts w:ascii="仿宋_GB2312" w:eastAsia="仿宋_GB2312" w:hAnsi="宋体" w:cs="仿宋_GB2312"/>
          <w:kern w:val="0"/>
          <w:sz w:val="32"/>
          <w:szCs w:val="32"/>
        </w:rPr>
      </w:pPr>
      <w:r>
        <w:rPr>
          <w:rFonts w:ascii="Times New Roman" w:eastAsia="仿宋_GB2312" w:hAnsi="Times New Roman" w:cs="Times New Roman" w:hint="eastAsia"/>
          <w:iCs/>
          <w:kern w:val="0"/>
          <w:sz w:val="32"/>
          <w:szCs w:val="32"/>
        </w:rPr>
        <w:t>支出决算</w:t>
      </w:r>
      <w:r>
        <w:rPr>
          <w:rFonts w:ascii="Times New Roman" w:eastAsia="仿宋_GB2312" w:hAnsi="Times New Roman" w:cs="Times New Roman"/>
          <w:iCs/>
          <w:kern w:val="0"/>
          <w:sz w:val="32"/>
          <w:szCs w:val="32"/>
        </w:rPr>
        <w:t>587</w:t>
      </w:r>
      <w:r>
        <w:rPr>
          <w:rFonts w:ascii="Times New Roman" w:eastAsia="仿宋_GB2312" w:hAnsi="Times New Roman" w:cs="Times New Roman" w:hint="eastAsia"/>
          <w:iCs/>
          <w:kern w:val="0"/>
          <w:sz w:val="32"/>
          <w:szCs w:val="32"/>
        </w:rPr>
        <w:t>万元，年初预算为零，新增主要原因是追加农户科学储粮专项工程资金。</w:t>
      </w:r>
    </w:p>
    <w:p w14:paraId="7FB24B4A" w14:textId="77777777" w:rsidR="00461755" w:rsidRDefault="00B3769C">
      <w:pPr>
        <w:spacing w:line="360" w:lineRule="auto"/>
        <w:ind w:firstLineChars="200" w:firstLine="643"/>
        <w:rPr>
          <w:rFonts w:ascii="仿宋_GB2312" w:eastAsia="仿宋_GB2312" w:hAnsi="宋体" w:cs="仿宋_GB2312"/>
          <w:b/>
          <w:bCs/>
          <w:kern w:val="0"/>
          <w:sz w:val="32"/>
          <w:szCs w:val="32"/>
        </w:rPr>
      </w:pPr>
      <w:r>
        <w:rPr>
          <w:rFonts w:ascii="仿宋_GB2312" w:eastAsia="仿宋_GB2312" w:hAnsi="宋体" w:cs="仿宋_GB2312" w:hint="eastAsia"/>
          <w:b/>
          <w:bCs/>
          <w:kern w:val="0"/>
          <w:sz w:val="32"/>
          <w:szCs w:val="32"/>
        </w:rPr>
        <w:t>1</w:t>
      </w:r>
      <w:r>
        <w:rPr>
          <w:rFonts w:ascii="仿宋_GB2312" w:eastAsia="仿宋_GB2312" w:hAnsi="宋体" w:cs="仿宋_GB2312"/>
          <w:b/>
          <w:bCs/>
          <w:kern w:val="0"/>
          <w:sz w:val="32"/>
          <w:szCs w:val="32"/>
        </w:rPr>
        <w:t>2.</w:t>
      </w:r>
      <w:r>
        <w:rPr>
          <w:rFonts w:ascii="仿宋_GB2312" w:eastAsia="仿宋_GB2312" w:hAnsi="宋体" w:cs="仿宋_GB2312" w:hint="eastAsia"/>
          <w:b/>
          <w:bCs/>
          <w:kern w:val="0"/>
          <w:sz w:val="32"/>
          <w:szCs w:val="32"/>
        </w:rPr>
        <w:t xml:space="preserve"> 其他支出（类）其他支出（款）其他支出（项）。</w:t>
      </w:r>
    </w:p>
    <w:p w14:paraId="75FF57E1" w14:textId="77777777" w:rsidR="00461755" w:rsidRDefault="00B3769C">
      <w:pPr>
        <w:widowControl/>
        <w:spacing w:line="360" w:lineRule="auto"/>
        <w:ind w:firstLineChars="200" w:firstLine="640"/>
        <w:jc w:val="left"/>
        <w:rPr>
          <w:rFonts w:ascii="仿宋_GB2312" w:eastAsia="仿宋_GB2312" w:hAnsi="宋体" w:cs="仿宋_GB2312"/>
          <w:kern w:val="0"/>
          <w:sz w:val="32"/>
          <w:szCs w:val="32"/>
        </w:rPr>
      </w:pPr>
      <w:r>
        <w:rPr>
          <w:rFonts w:ascii="仿宋_GB2312" w:eastAsia="仿宋_GB2312" w:hAnsi="宋体" w:cs="仿宋_GB2312" w:hint="eastAsia"/>
          <w:kern w:val="0"/>
          <w:sz w:val="32"/>
          <w:szCs w:val="32"/>
        </w:rPr>
        <w:t>支出决算</w:t>
      </w:r>
      <w:r>
        <w:rPr>
          <w:rFonts w:ascii="仿宋_GB2312" w:eastAsia="仿宋_GB2312" w:hAnsi="宋体" w:cs="仿宋_GB2312"/>
          <w:kern w:val="0"/>
          <w:sz w:val="32"/>
          <w:szCs w:val="32"/>
        </w:rPr>
        <w:t>964.73</w:t>
      </w:r>
      <w:r>
        <w:rPr>
          <w:rFonts w:ascii="仿宋_GB2312" w:eastAsia="仿宋_GB2312" w:hAnsi="宋体" w:cs="仿宋_GB2312" w:hint="eastAsia"/>
          <w:kern w:val="0"/>
          <w:sz w:val="32"/>
          <w:szCs w:val="32"/>
        </w:rPr>
        <w:t>万元，年初预算为零，新增主要原因是2</w:t>
      </w:r>
      <w:r>
        <w:rPr>
          <w:rFonts w:ascii="仿宋_GB2312" w:eastAsia="仿宋_GB2312" w:hAnsi="宋体" w:cs="仿宋_GB2312"/>
          <w:kern w:val="0"/>
          <w:sz w:val="32"/>
          <w:szCs w:val="32"/>
        </w:rPr>
        <w:t>024</w:t>
      </w:r>
      <w:r>
        <w:rPr>
          <w:rFonts w:ascii="仿宋_GB2312" w:eastAsia="仿宋_GB2312" w:hAnsi="宋体" w:cs="仿宋_GB2312" w:hint="eastAsia"/>
          <w:kern w:val="0"/>
          <w:sz w:val="32"/>
          <w:szCs w:val="32"/>
        </w:rPr>
        <w:t>年追加津陕协作、重大项目前期费等项目支出预算。</w:t>
      </w:r>
    </w:p>
    <w:p w14:paraId="5FDB58A2" w14:textId="77777777" w:rsidR="00461755" w:rsidRDefault="00B3769C">
      <w:pPr>
        <w:widowControl/>
        <w:ind w:firstLineChars="200" w:firstLine="640"/>
        <w:jc w:val="left"/>
        <w:rPr>
          <w:rFonts w:ascii="仿宋_GB2312" w:eastAsia="仿宋_GB2312" w:hAnsi="宋体" w:cs="仿宋_GB2312"/>
          <w:kern w:val="0"/>
          <w:sz w:val="32"/>
          <w:szCs w:val="32"/>
        </w:rPr>
      </w:pPr>
      <w:r>
        <w:rPr>
          <w:rFonts w:ascii="仿宋_GB2312" w:eastAsia="仿宋_GB2312" w:hAnsi="宋体" w:cs="仿宋_GB2312"/>
          <w:noProof/>
          <w:kern w:val="0"/>
          <w:sz w:val="32"/>
          <w:szCs w:val="32"/>
        </w:rPr>
        <w:lastRenderedPageBreak/>
        <w:drawing>
          <wp:inline distT="0" distB="0" distL="0" distR="0" wp14:anchorId="48F77761" wp14:editId="58ABB202">
            <wp:extent cx="4803140" cy="3547110"/>
            <wp:effectExtent l="0" t="0" r="0" b="0"/>
            <wp:docPr id="15" name="对象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bookmarkEnd w:id="7"/>
    <w:p w14:paraId="7CE42F77" w14:textId="77777777" w:rsidR="00461755" w:rsidRDefault="00461755">
      <w:pPr>
        <w:ind w:firstLineChars="200" w:firstLine="640"/>
        <w:rPr>
          <w:rFonts w:ascii="Times New Roman" w:eastAsia="黑体" w:hAnsi="Times New Roman" w:cs="Times New Roman"/>
          <w:kern w:val="0"/>
          <w:sz w:val="32"/>
          <w:szCs w:val="32"/>
        </w:rPr>
      </w:pPr>
    </w:p>
    <w:p w14:paraId="58FDE8A8" w14:textId="77777777" w:rsidR="00461755" w:rsidRDefault="00461755">
      <w:pPr>
        <w:ind w:firstLineChars="200" w:firstLine="640"/>
        <w:rPr>
          <w:rFonts w:ascii="Times New Roman" w:eastAsia="黑体" w:hAnsi="Times New Roman" w:cs="Times New Roman"/>
          <w:kern w:val="0"/>
          <w:sz w:val="32"/>
          <w:szCs w:val="32"/>
        </w:rPr>
      </w:pPr>
    </w:p>
    <w:p w14:paraId="1FD35BC3" w14:textId="77777777" w:rsidR="00461755" w:rsidRDefault="00B3769C">
      <w:pPr>
        <w:ind w:firstLineChars="200" w:firstLine="640"/>
        <w:rPr>
          <w:rFonts w:ascii="Times New Roman" w:eastAsia="仿宋_GB2312" w:hAnsi="Times New Roman" w:cs="Times New Roman"/>
          <w:sz w:val="32"/>
          <w:szCs w:val="32"/>
        </w:rPr>
      </w:pPr>
      <w:r>
        <w:rPr>
          <w:rFonts w:ascii="Times New Roman" w:eastAsia="黑体" w:hAnsi="Times New Roman" w:cs="Times New Roman"/>
          <w:kern w:val="0"/>
          <w:sz w:val="32"/>
          <w:szCs w:val="32"/>
        </w:rPr>
        <w:t>六、一般公共预算财政拨款基本支出决算情况说明</w:t>
      </w:r>
      <w:r>
        <w:rPr>
          <w:rFonts w:ascii="Times New Roman" w:eastAsia="黑体" w:hAnsi="Times New Roman" w:cs="Times New Roman"/>
          <w:kern w:val="0"/>
          <w:sz w:val="32"/>
          <w:szCs w:val="32"/>
        </w:rPr>
        <w:t xml:space="preserve"> </w:t>
      </w:r>
    </w:p>
    <w:p w14:paraId="0A73FC71" w14:textId="77777777" w:rsidR="00461755" w:rsidRDefault="00B3769C">
      <w:pPr>
        <w:widowControl/>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t>2024年度</w:t>
      </w:r>
      <w:r>
        <w:rPr>
          <w:rFonts w:ascii="仿宋_GB2312" w:eastAsia="仿宋_GB2312" w:hAnsi="仿宋_GB2312" w:cs="仿宋_GB2312" w:hint="eastAsia"/>
          <w:kern w:val="0"/>
          <w:sz w:val="32"/>
          <w:szCs w:val="32"/>
        </w:rPr>
        <w:t>一般公共预算财政拨款基本支出1624.13万元，包括人员经费和公用经费。其中：</w:t>
      </w:r>
    </w:p>
    <w:p w14:paraId="1EA84229" w14:textId="77777777" w:rsidR="00461755" w:rsidRDefault="00B3769C">
      <w:pPr>
        <w:widowControl/>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w:t>
      </w:r>
      <w:r>
        <w:rPr>
          <w:rFonts w:ascii="仿宋_GB2312" w:eastAsia="仿宋_GB2312" w:hAnsi="仿宋_GB2312" w:cs="仿宋_GB2312" w:hint="eastAsia"/>
          <w:b/>
          <w:bCs/>
          <w:sz w:val="32"/>
          <w:szCs w:val="32"/>
        </w:rPr>
        <w:t>人员经费</w:t>
      </w:r>
      <w:r>
        <w:rPr>
          <w:rFonts w:ascii="仿宋_GB2312" w:eastAsia="仿宋_GB2312" w:hAnsi="仿宋_GB2312" w:cs="仿宋_GB2312" w:hint="eastAsia"/>
          <w:sz w:val="32"/>
          <w:szCs w:val="32"/>
        </w:rPr>
        <w:t>1,515.43万元，主要包括：</w:t>
      </w:r>
      <w:bookmarkStart w:id="19" w:name="_Hlk209974580"/>
      <w:bookmarkStart w:id="20" w:name="OLE_LINK16"/>
      <w:r>
        <w:rPr>
          <w:rFonts w:ascii="仿宋_GB2312" w:eastAsia="仿宋_GB2312" w:hAnsi="仿宋_GB2312" w:cs="仿宋_GB2312" w:hint="eastAsia"/>
          <w:sz w:val="32"/>
          <w:szCs w:val="32"/>
        </w:rPr>
        <w:t>基本工资、津贴补贴、奖金、绩效工资、机关事业单位基本养老保险缴费、职业年金缴费、职工基本医疗保险缴费、其他社会保障缴费、住房公积金、离休费、生活补助。</w:t>
      </w:r>
      <w:bookmarkEnd w:id="19"/>
      <w:bookmarkEnd w:id="20"/>
    </w:p>
    <w:p w14:paraId="37FEE0D5" w14:textId="77777777" w:rsidR="00461755" w:rsidRDefault="00B3769C">
      <w:pPr>
        <w:widowControl/>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w:t>
      </w:r>
      <w:r>
        <w:rPr>
          <w:rFonts w:ascii="仿宋_GB2312" w:eastAsia="仿宋_GB2312" w:hAnsi="仿宋_GB2312" w:cs="仿宋_GB2312" w:hint="eastAsia"/>
          <w:b/>
          <w:bCs/>
          <w:sz w:val="32"/>
          <w:szCs w:val="32"/>
        </w:rPr>
        <w:t>公用经费</w:t>
      </w:r>
      <w:r>
        <w:rPr>
          <w:rFonts w:ascii="仿宋_GB2312" w:eastAsia="仿宋_GB2312" w:hAnsi="仿宋_GB2312" w:cs="仿宋_GB2312" w:hint="eastAsia"/>
          <w:sz w:val="32"/>
          <w:szCs w:val="32"/>
        </w:rPr>
        <w:t>108.7万元，主要包括：</w:t>
      </w:r>
      <w:bookmarkStart w:id="21" w:name="_Hlk209974632"/>
      <w:r>
        <w:rPr>
          <w:rFonts w:ascii="仿宋_GB2312" w:eastAsia="仿宋_GB2312" w:hAnsi="仿宋_GB2312" w:cs="仿宋_GB2312" w:hint="eastAsia"/>
          <w:sz w:val="32"/>
          <w:szCs w:val="32"/>
        </w:rPr>
        <w:t>办公费、印刷费、水费、电费、邮电费、差旅费、维修（护）费、会议费、公务接待费、专用材料费、劳务费、工会经费、公</w:t>
      </w:r>
      <w:r>
        <w:rPr>
          <w:rFonts w:ascii="仿宋_GB2312" w:eastAsia="仿宋_GB2312" w:hAnsi="仿宋_GB2312" w:cs="仿宋_GB2312" w:hint="eastAsia"/>
          <w:sz w:val="32"/>
          <w:szCs w:val="32"/>
        </w:rPr>
        <w:lastRenderedPageBreak/>
        <w:t>务用车运行维护费、其他交通费用、其他商品和服务支出。</w:t>
      </w:r>
      <w:bookmarkEnd w:id="21"/>
    </w:p>
    <w:p w14:paraId="48041F39" w14:textId="77777777" w:rsidR="00461755" w:rsidRDefault="00B3769C">
      <w:pPr>
        <w:ind w:firstLineChars="200" w:firstLine="640"/>
        <w:rPr>
          <w:rFonts w:ascii="Times New Roman" w:eastAsia="黑体" w:hAnsi="Times New Roman" w:cs="Times New Roman"/>
          <w:kern w:val="0"/>
          <w:sz w:val="32"/>
          <w:szCs w:val="32"/>
        </w:rPr>
      </w:pPr>
      <w:r>
        <w:rPr>
          <w:rFonts w:ascii="Times New Roman" w:eastAsia="黑体" w:hAnsi="Times New Roman" w:cs="Times New Roman"/>
          <w:kern w:val="0"/>
          <w:sz w:val="32"/>
          <w:szCs w:val="32"/>
        </w:rPr>
        <w:t>七、政府性基金预算财政拨款收入支出决算情况说明</w:t>
      </w:r>
      <w:r>
        <w:rPr>
          <w:rFonts w:ascii="Times New Roman" w:eastAsia="黑体" w:hAnsi="Times New Roman" w:cs="Times New Roman"/>
          <w:kern w:val="0"/>
          <w:sz w:val="32"/>
          <w:szCs w:val="32"/>
        </w:rPr>
        <w:t xml:space="preserve"> </w:t>
      </w:r>
    </w:p>
    <w:p w14:paraId="612EB15C" w14:textId="77777777" w:rsidR="00461755" w:rsidRDefault="00B3769C">
      <w:pPr>
        <w:widowControl/>
        <w:ind w:firstLineChars="200" w:firstLine="640"/>
        <w:jc w:val="left"/>
        <w:rPr>
          <w:rFonts w:ascii="仿宋_GB2312" w:eastAsia="仿宋_GB2312" w:hAnsi="仿宋_GB2312" w:cs="仿宋_GB2312"/>
          <w:b/>
          <w:bCs/>
          <w:kern w:val="0"/>
          <w:sz w:val="32"/>
          <w:szCs w:val="32"/>
        </w:rPr>
      </w:pPr>
      <w:bookmarkStart w:id="22" w:name="_Hlk209974671"/>
      <w:r>
        <w:rPr>
          <w:rFonts w:ascii="仿宋_GB2312" w:eastAsia="仿宋_GB2312" w:hAnsi="仿宋_GB2312" w:cs="仿宋_GB2312" w:hint="eastAsia"/>
          <w:iCs/>
          <w:sz w:val="32"/>
          <w:szCs w:val="32"/>
        </w:rPr>
        <w:t>本单位2024年度无政府性基金预算财政拨款收支，已公开空表。</w:t>
      </w:r>
    </w:p>
    <w:bookmarkEnd w:id="22"/>
    <w:p w14:paraId="57570697" w14:textId="77777777" w:rsidR="00461755" w:rsidRDefault="00B3769C">
      <w:pPr>
        <w:widowControl/>
        <w:ind w:firstLineChars="200" w:firstLine="640"/>
        <w:jc w:val="left"/>
        <w:rPr>
          <w:rFonts w:ascii="Times New Roman" w:eastAsia="黑体" w:hAnsi="Times New Roman" w:cs="Times New Roman"/>
          <w:kern w:val="0"/>
          <w:sz w:val="32"/>
          <w:szCs w:val="32"/>
        </w:rPr>
      </w:pPr>
      <w:r>
        <w:rPr>
          <w:rFonts w:ascii="Times New Roman" w:eastAsia="黑体" w:hAnsi="Times New Roman" w:cs="Times New Roman"/>
          <w:kern w:val="0"/>
          <w:sz w:val="32"/>
          <w:szCs w:val="32"/>
        </w:rPr>
        <w:t>八、国有资本经营预算财政拨款支出决算情况说明</w:t>
      </w:r>
    </w:p>
    <w:p w14:paraId="40A4A579" w14:textId="77777777" w:rsidR="00461755" w:rsidRDefault="00B3769C">
      <w:pPr>
        <w:widowControl/>
        <w:ind w:firstLineChars="200" w:firstLine="640"/>
        <w:jc w:val="left"/>
        <w:rPr>
          <w:rFonts w:ascii="仿宋_GB2312" w:eastAsia="仿宋_GB2312" w:hAnsi="仿宋_GB2312" w:cs="仿宋_GB2312"/>
          <w:iCs/>
          <w:sz w:val="32"/>
          <w:szCs w:val="32"/>
        </w:rPr>
      </w:pPr>
      <w:bookmarkStart w:id="23" w:name="_Hlk209974707"/>
      <w:r>
        <w:rPr>
          <w:rFonts w:ascii="仿宋_GB2312" w:eastAsia="仿宋_GB2312" w:hAnsi="仿宋_GB2312" w:cs="仿宋_GB2312" w:hint="eastAsia"/>
          <w:iCs/>
          <w:sz w:val="32"/>
          <w:szCs w:val="32"/>
        </w:rPr>
        <w:t>2024年度国有资本经营预算财政拨款年初结转和结余0万元，收入决算12.12万元，支出决算12.12万元，年末结转和结余0万元。具体支出情况如下：</w:t>
      </w:r>
    </w:p>
    <w:p w14:paraId="076CEBE7" w14:textId="77777777" w:rsidR="00461755" w:rsidRDefault="00B3769C">
      <w:pPr>
        <w:ind w:firstLineChars="200" w:firstLine="640"/>
        <w:rPr>
          <w:rFonts w:ascii="Times New Roman" w:eastAsia="楷体" w:hAnsi="Times New Roman" w:cs="Times New Roman"/>
          <w:iCs/>
          <w:kern w:val="0"/>
          <w:sz w:val="32"/>
          <w:szCs w:val="32"/>
          <w:highlight w:val="cyan"/>
        </w:rPr>
      </w:pPr>
      <w:r>
        <w:rPr>
          <w:rFonts w:ascii="仿宋_GB2312" w:eastAsia="仿宋_GB2312" w:hAnsi="仿宋_GB2312" w:cs="仿宋_GB2312" w:hint="eastAsia"/>
          <w:kern w:val="0"/>
          <w:sz w:val="32"/>
          <w:szCs w:val="32"/>
        </w:rPr>
        <w:t>1.</w:t>
      </w:r>
      <w:r>
        <w:rPr>
          <w:rFonts w:ascii="仿宋_GB2312" w:eastAsia="仿宋_GB2312" w:hAnsi="仿宋_GB2312" w:cs="仿宋_GB2312" w:hint="eastAsia"/>
          <w:b/>
          <w:bCs/>
          <w:kern w:val="0"/>
          <w:sz w:val="32"/>
          <w:szCs w:val="32"/>
        </w:rPr>
        <w:t>国有资本经营预算支出（类）解决历史遗留问题及改革成本支出（款）其他解决历史遗留问题及改革成本支出（项）。</w:t>
      </w:r>
      <w:r>
        <w:rPr>
          <w:rFonts w:ascii="仿宋_GB2312" w:eastAsia="仿宋_GB2312" w:hAnsi="仿宋_GB2312" w:cs="仿宋_GB2312" w:hint="eastAsia"/>
          <w:iCs/>
          <w:sz w:val="32"/>
          <w:szCs w:val="32"/>
        </w:rPr>
        <w:t>本年支出决算12.12万元，主要用于汉中兴元米业有限责任公司留守及退休人员2024年工资、社会保险、医</w:t>
      </w:r>
      <w:r>
        <w:rPr>
          <w:rFonts w:ascii="仿宋_GB2312" w:eastAsia="仿宋_GB2312" w:hAnsi="宋体" w:cs="仿宋_GB2312" w:hint="eastAsia"/>
          <w:kern w:val="0"/>
          <w:sz w:val="32"/>
          <w:szCs w:val="32"/>
        </w:rPr>
        <w:t>疗保险和遗属生活费。</w:t>
      </w:r>
    </w:p>
    <w:bookmarkEnd w:id="23"/>
    <w:p w14:paraId="78A2A154" w14:textId="77777777" w:rsidR="00461755" w:rsidRDefault="00B3769C">
      <w:pPr>
        <w:ind w:firstLineChars="200" w:firstLine="640"/>
        <w:rPr>
          <w:rFonts w:ascii="黑体" w:eastAsia="黑体" w:hAnsi="黑体"/>
          <w:kern w:val="0"/>
          <w:sz w:val="32"/>
          <w:szCs w:val="32"/>
        </w:rPr>
      </w:pPr>
      <w:r>
        <w:rPr>
          <w:rFonts w:ascii="黑体" w:eastAsia="黑体" w:hAnsi="黑体" w:hint="eastAsia"/>
          <w:kern w:val="0"/>
          <w:sz w:val="32"/>
          <w:szCs w:val="32"/>
        </w:rPr>
        <w:t xml:space="preserve">九、财政拨款“三公”经费及会议费、培训费支出决算情况说明 </w:t>
      </w:r>
    </w:p>
    <w:p w14:paraId="12141E5C" w14:textId="77777777" w:rsidR="00461755" w:rsidRDefault="00B3769C">
      <w:pPr>
        <w:widowControl/>
        <w:ind w:firstLineChars="200" w:firstLine="640"/>
        <w:jc w:val="left"/>
        <w:rPr>
          <w:rFonts w:ascii="楷体_GB2312" w:eastAsia="楷体_GB2312" w:hAnsi="楷体_GB2312" w:cs="楷体_GB2312"/>
          <w:sz w:val="32"/>
          <w:szCs w:val="32"/>
        </w:rPr>
      </w:pPr>
      <w:bookmarkStart w:id="24" w:name="_Hlk209974753"/>
      <w:r>
        <w:rPr>
          <w:rFonts w:ascii="楷体_GB2312" w:eastAsia="楷体_GB2312" w:hAnsi="楷体_GB2312" w:cs="楷体_GB2312" w:hint="eastAsia"/>
          <w:bCs/>
          <w:kern w:val="0"/>
          <w:sz w:val="32"/>
          <w:szCs w:val="32"/>
        </w:rPr>
        <w:t>（一）“三公”经费支出决算情况说明</w:t>
      </w:r>
      <w:r>
        <w:rPr>
          <w:rFonts w:ascii="楷体_GB2312" w:eastAsia="楷体_GB2312" w:hAnsi="楷体_GB2312" w:cs="楷体_GB2312" w:hint="eastAsia"/>
          <w:b/>
          <w:kern w:val="0"/>
          <w:sz w:val="32"/>
          <w:szCs w:val="32"/>
        </w:rPr>
        <w:t xml:space="preserve"> </w:t>
      </w:r>
    </w:p>
    <w:p w14:paraId="28DD793A" w14:textId="77777777" w:rsidR="00461755" w:rsidRDefault="00B3769C">
      <w:pPr>
        <w:ind w:firstLineChars="200" w:firstLine="64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2024年度财政拨款安排“三公”经费支出预算7.3万元，支出决算7.3万元，完成预算的100%。决算数较上年减少的主要原因是</w:t>
      </w:r>
      <w:bookmarkStart w:id="25" w:name="_Hlk209965139"/>
      <w:r>
        <w:rPr>
          <w:rFonts w:ascii="仿宋_GB2312" w:eastAsia="仿宋_GB2312" w:hAnsi="宋体" w:cs="仿宋_GB2312" w:hint="eastAsia"/>
          <w:kern w:val="0"/>
          <w:sz w:val="32"/>
          <w:szCs w:val="32"/>
        </w:rPr>
        <w:t>严格落实厉行节约要求，压缩了公务用车运行和公务接待非必要支出。</w:t>
      </w:r>
      <w:bookmarkEnd w:id="25"/>
    </w:p>
    <w:p w14:paraId="53807CB0" w14:textId="77777777" w:rsidR="00461755" w:rsidRDefault="00B3769C">
      <w:pPr>
        <w:rPr>
          <w:rFonts w:ascii="楷体_GB2312" w:eastAsia="楷体_GB2312" w:hAnsi="楷体_GB2312" w:cs="楷体_GB2312"/>
          <w:bCs/>
          <w:kern w:val="0"/>
          <w:sz w:val="32"/>
          <w:szCs w:val="32"/>
        </w:rPr>
      </w:pPr>
      <w:r>
        <w:rPr>
          <w:rFonts w:ascii="Times New Roman" w:eastAsia="楷体" w:hAnsi="Times New Roman" w:cs="Times New Roman"/>
          <w:sz w:val="32"/>
          <w:szCs w:val="32"/>
        </w:rPr>
        <w:t xml:space="preserve">   </w:t>
      </w:r>
      <w:r>
        <w:rPr>
          <w:rFonts w:ascii="楷体_GB2312" w:eastAsia="楷体_GB2312" w:hAnsi="楷体_GB2312" w:cs="楷体_GB2312" w:hint="eastAsia"/>
          <w:bCs/>
          <w:kern w:val="0"/>
          <w:sz w:val="32"/>
          <w:szCs w:val="32"/>
        </w:rPr>
        <w:t xml:space="preserve"> 1.因公出国（境）费支出情况说明</w:t>
      </w:r>
    </w:p>
    <w:p w14:paraId="033C44E2" w14:textId="77777777" w:rsidR="00461755" w:rsidRDefault="00B3769C">
      <w:pPr>
        <w:widowControl/>
        <w:spacing w:line="560" w:lineRule="exact"/>
        <w:ind w:firstLineChars="200" w:firstLine="640"/>
        <w:jc w:val="left"/>
        <w:rPr>
          <w:rFonts w:ascii="仿宋_GB2312" w:eastAsia="仿宋_GB2312" w:hAnsi="宋体" w:cs="仿宋_GB2312"/>
          <w:kern w:val="0"/>
          <w:sz w:val="32"/>
          <w:szCs w:val="32"/>
        </w:rPr>
      </w:pPr>
      <w:r>
        <w:rPr>
          <w:rFonts w:ascii="仿宋_GB2312" w:eastAsia="仿宋_GB2312" w:hAnsi="宋体" w:cs="仿宋_GB2312" w:hint="eastAsia"/>
          <w:kern w:val="0"/>
          <w:sz w:val="32"/>
          <w:szCs w:val="32"/>
        </w:rPr>
        <w:lastRenderedPageBreak/>
        <w:t>本年度无财政拨款因公出国（境）费支出。</w:t>
      </w:r>
    </w:p>
    <w:p w14:paraId="3A2B3684" w14:textId="77777777" w:rsidR="00461755" w:rsidRDefault="00B3769C">
      <w:pPr>
        <w:ind w:firstLineChars="200" w:firstLine="640"/>
        <w:rPr>
          <w:rFonts w:ascii="楷体_GB2312" w:eastAsia="楷体_GB2312" w:hAnsi="楷体_GB2312" w:cs="楷体_GB2312"/>
          <w:bCs/>
          <w:kern w:val="0"/>
          <w:sz w:val="32"/>
          <w:szCs w:val="32"/>
        </w:rPr>
      </w:pPr>
      <w:r>
        <w:rPr>
          <w:rFonts w:ascii="楷体_GB2312" w:eastAsia="楷体_GB2312" w:hAnsi="楷体_GB2312" w:cs="楷体_GB2312" w:hint="eastAsia"/>
          <w:bCs/>
          <w:kern w:val="0"/>
          <w:sz w:val="32"/>
          <w:szCs w:val="32"/>
        </w:rPr>
        <w:t>2.公务用车购置费支出情况说明</w:t>
      </w:r>
    </w:p>
    <w:p w14:paraId="26D74A70" w14:textId="77777777" w:rsidR="00461755" w:rsidRDefault="00B3769C">
      <w:pPr>
        <w:widowControl/>
        <w:spacing w:line="560" w:lineRule="exact"/>
        <w:ind w:firstLineChars="200" w:firstLine="640"/>
        <w:jc w:val="left"/>
        <w:rPr>
          <w:rFonts w:ascii="仿宋_GB2312" w:eastAsia="仿宋_GB2312" w:hAnsi="宋体" w:cs="仿宋_GB2312"/>
          <w:kern w:val="0"/>
          <w:sz w:val="32"/>
          <w:szCs w:val="32"/>
        </w:rPr>
      </w:pPr>
      <w:r>
        <w:rPr>
          <w:rFonts w:ascii="仿宋_GB2312" w:eastAsia="仿宋_GB2312" w:hAnsi="宋体" w:cs="仿宋_GB2312" w:hint="eastAsia"/>
          <w:kern w:val="0"/>
          <w:sz w:val="32"/>
          <w:szCs w:val="32"/>
        </w:rPr>
        <w:t>本年度无财政拨款公务用车购置费支出。</w:t>
      </w:r>
    </w:p>
    <w:p w14:paraId="2C4F650F" w14:textId="77777777" w:rsidR="00461755" w:rsidRDefault="00B3769C">
      <w:pPr>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3.公务用车运行维护费支出情况</w:t>
      </w:r>
      <w:r>
        <w:rPr>
          <w:rFonts w:ascii="楷体_GB2312" w:eastAsia="楷体_GB2312" w:hAnsi="楷体_GB2312" w:cs="楷体_GB2312" w:hint="eastAsia"/>
          <w:kern w:val="0"/>
          <w:sz w:val="32"/>
          <w:szCs w:val="32"/>
        </w:rPr>
        <w:t>说明</w:t>
      </w:r>
    </w:p>
    <w:p w14:paraId="7CE4B707" w14:textId="77777777" w:rsidR="00461755" w:rsidRDefault="00B3769C">
      <w:pPr>
        <w:widowControl/>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t>2024年度财政拨款安排公务用车运行维护费用预算3.1万元，支出决算3.1万元，完成预算的100%，决算数与预算数持平。主要用于公务车油费、过路费、维修保养费等支出。</w:t>
      </w:r>
    </w:p>
    <w:p w14:paraId="6D4E8BCA" w14:textId="77777777" w:rsidR="00461755" w:rsidRDefault="00B3769C">
      <w:pPr>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4.公务接待费支出情况</w:t>
      </w:r>
      <w:r>
        <w:rPr>
          <w:rFonts w:ascii="楷体_GB2312" w:eastAsia="楷体_GB2312" w:hAnsi="楷体_GB2312" w:cs="楷体_GB2312" w:hint="eastAsia"/>
          <w:kern w:val="0"/>
          <w:sz w:val="32"/>
          <w:szCs w:val="32"/>
        </w:rPr>
        <w:t>说明</w:t>
      </w:r>
    </w:p>
    <w:p w14:paraId="7955B526" w14:textId="77777777" w:rsidR="00461755" w:rsidRDefault="00B3769C">
      <w:pPr>
        <w:widowControl/>
        <w:spacing w:line="560" w:lineRule="exact"/>
        <w:ind w:firstLineChars="200" w:firstLine="640"/>
        <w:jc w:val="left"/>
        <w:rPr>
          <w:rFonts w:ascii="仿宋_GB2312" w:eastAsia="仿宋_GB2312" w:hAnsi="宋体" w:cs="仿宋_GB2312"/>
          <w:kern w:val="0"/>
          <w:sz w:val="32"/>
          <w:szCs w:val="32"/>
        </w:rPr>
      </w:pPr>
      <w:r>
        <w:rPr>
          <w:rFonts w:ascii="仿宋_GB2312" w:eastAsia="仿宋_GB2312" w:hAnsi="仿宋" w:hint="eastAsia"/>
          <w:sz w:val="32"/>
          <w:szCs w:val="32"/>
        </w:rPr>
        <w:t>202</w:t>
      </w:r>
      <w:r>
        <w:rPr>
          <w:rFonts w:ascii="仿宋_GB2312" w:eastAsia="仿宋_GB2312" w:hAnsi="仿宋"/>
          <w:sz w:val="32"/>
          <w:szCs w:val="32"/>
        </w:rPr>
        <w:t>4</w:t>
      </w:r>
      <w:r>
        <w:rPr>
          <w:rFonts w:ascii="仿宋_GB2312" w:eastAsia="仿宋_GB2312" w:hAnsi="仿宋" w:hint="eastAsia"/>
          <w:sz w:val="32"/>
          <w:szCs w:val="32"/>
        </w:rPr>
        <w:t>年度</w:t>
      </w:r>
      <w:r>
        <w:rPr>
          <w:rFonts w:ascii="仿宋_GB2312" w:eastAsia="仿宋_GB2312" w:hAnsi="宋体" w:cs="仿宋_GB2312" w:hint="eastAsia"/>
          <w:kern w:val="0"/>
          <w:sz w:val="32"/>
          <w:szCs w:val="32"/>
        </w:rPr>
        <w:t>财政拨款</w:t>
      </w:r>
      <w:r>
        <w:rPr>
          <w:rFonts w:ascii="仿宋_GB2312" w:eastAsia="仿宋_GB2312" w:hAnsi="仿宋" w:hint="eastAsia"/>
          <w:sz w:val="32"/>
          <w:szCs w:val="32"/>
        </w:rPr>
        <w:t>安排公务接待</w:t>
      </w:r>
      <w:r>
        <w:rPr>
          <w:rFonts w:ascii="仿宋_GB2312" w:eastAsia="仿宋_GB2312" w:hAnsi="宋体" w:cs="仿宋_GB2312"/>
          <w:kern w:val="0"/>
          <w:sz w:val="32"/>
          <w:szCs w:val="32"/>
        </w:rPr>
        <w:t>预算4.2万元，支出决算4.2万元，完成预算的100</w:t>
      </w:r>
      <w:r>
        <w:rPr>
          <w:rFonts w:ascii="仿宋_GB2312" w:eastAsia="仿宋_GB2312" w:hAnsi="宋体" w:cs="仿宋_GB2312" w:hint="eastAsia"/>
          <w:kern w:val="0"/>
          <w:sz w:val="32"/>
          <w:szCs w:val="32"/>
        </w:rPr>
        <w:t>%，决算数与预算数持平。其中：</w:t>
      </w:r>
    </w:p>
    <w:p w14:paraId="68135AE1" w14:textId="77777777" w:rsidR="00461755" w:rsidRDefault="00B3769C">
      <w:pPr>
        <w:widowControl/>
        <w:ind w:firstLineChars="200" w:firstLine="643"/>
        <w:jc w:val="left"/>
        <w:rPr>
          <w:rFonts w:ascii="Times New Roman" w:eastAsia="仿宋_GB2312" w:hAnsi="Times New Roman" w:cs="Times New Roman"/>
          <w:kern w:val="0"/>
          <w:sz w:val="32"/>
          <w:szCs w:val="32"/>
        </w:rPr>
      </w:pPr>
      <w:r>
        <w:rPr>
          <w:rFonts w:ascii="仿宋_GB2312" w:eastAsia="仿宋_GB2312" w:hAnsi="宋体" w:cs="仿宋_GB2312" w:hint="eastAsia"/>
          <w:b/>
          <w:bCs/>
          <w:kern w:val="0"/>
          <w:sz w:val="32"/>
          <w:szCs w:val="32"/>
        </w:rPr>
        <w:t>国内公务接待</w:t>
      </w:r>
      <w:r>
        <w:rPr>
          <w:rFonts w:ascii="仿宋_GB2312" w:eastAsia="仿宋_GB2312" w:hAnsi="宋体" w:cs="仿宋_GB2312" w:hint="eastAsia"/>
          <w:kern w:val="0"/>
          <w:sz w:val="32"/>
          <w:szCs w:val="32"/>
        </w:rPr>
        <w:t>支出</w:t>
      </w:r>
      <w:r>
        <w:rPr>
          <w:rFonts w:ascii="仿宋_GB2312" w:eastAsia="仿宋_GB2312" w:hAnsi="仿宋_GB2312" w:cs="仿宋_GB2312"/>
          <w:sz w:val="32"/>
          <w:szCs w:val="32"/>
        </w:rPr>
        <w:t>4.2</w:t>
      </w:r>
      <w:r>
        <w:rPr>
          <w:rFonts w:ascii="仿宋_GB2312" w:eastAsia="仿宋_GB2312" w:hAnsi="宋体" w:cs="仿宋_GB2312"/>
          <w:kern w:val="0"/>
          <w:sz w:val="32"/>
          <w:szCs w:val="32"/>
        </w:rPr>
        <w:t>万元</w:t>
      </w:r>
      <w:r>
        <w:rPr>
          <w:rFonts w:ascii="仿宋_GB2312" w:eastAsia="仿宋_GB2312" w:hAnsi="宋体" w:cs="仿宋_GB2312" w:hint="eastAsia"/>
          <w:kern w:val="0"/>
          <w:sz w:val="32"/>
          <w:szCs w:val="32"/>
        </w:rPr>
        <w:t>。主要是本部门机关等单位与国内相关单位交流工作、接受有关部门工作检查指导发生的接待支出。共接待国内来访团组</w:t>
      </w:r>
      <w:r>
        <w:rPr>
          <w:rFonts w:ascii="仿宋_GB2312" w:eastAsia="仿宋_GB2312" w:hAnsi="宋体" w:cs="仿宋_GB2312"/>
          <w:kern w:val="0"/>
          <w:sz w:val="32"/>
          <w:szCs w:val="32"/>
        </w:rPr>
        <w:t>91</w:t>
      </w:r>
      <w:r>
        <w:rPr>
          <w:rFonts w:ascii="仿宋_GB2312" w:eastAsia="仿宋_GB2312" w:hAnsi="宋体" w:cs="仿宋_GB2312" w:hint="eastAsia"/>
          <w:kern w:val="0"/>
          <w:sz w:val="32"/>
          <w:szCs w:val="32"/>
        </w:rPr>
        <w:t>个，来宾</w:t>
      </w:r>
      <w:r>
        <w:rPr>
          <w:rFonts w:ascii="仿宋_GB2312" w:eastAsia="仿宋_GB2312" w:hAnsi="宋体" w:cs="仿宋_GB2312"/>
          <w:kern w:val="0"/>
          <w:sz w:val="32"/>
          <w:szCs w:val="32"/>
        </w:rPr>
        <w:t>364</w:t>
      </w:r>
      <w:r>
        <w:rPr>
          <w:rFonts w:ascii="仿宋_GB2312" w:eastAsia="仿宋_GB2312" w:hAnsi="宋体" w:cs="仿宋_GB2312" w:hint="eastAsia"/>
          <w:kern w:val="0"/>
          <w:sz w:val="32"/>
          <w:szCs w:val="32"/>
        </w:rPr>
        <w:t>人次。</w:t>
      </w:r>
    </w:p>
    <w:p w14:paraId="49924F1E" w14:textId="77777777" w:rsidR="00461755" w:rsidRDefault="00B3769C">
      <w:pPr>
        <w:widowControl/>
        <w:ind w:firstLineChars="200" w:firstLine="640"/>
        <w:jc w:val="left"/>
        <w:rPr>
          <w:rFonts w:ascii="Times New Roman" w:eastAsia="楷体_GB2312" w:hAnsi="Times New Roman" w:cs="Times New Roman"/>
          <w:bCs/>
          <w:kern w:val="0"/>
          <w:sz w:val="32"/>
          <w:szCs w:val="32"/>
        </w:rPr>
      </w:pPr>
      <w:r>
        <w:rPr>
          <w:rFonts w:ascii="Times New Roman" w:eastAsia="楷体_GB2312" w:hAnsi="Times New Roman" w:cs="Times New Roman"/>
          <w:bCs/>
          <w:kern w:val="0"/>
          <w:sz w:val="32"/>
          <w:szCs w:val="32"/>
        </w:rPr>
        <w:t>（二）培训费支出情况说明</w:t>
      </w:r>
    </w:p>
    <w:p w14:paraId="0CF20286" w14:textId="77777777" w:rsidR="00461755" w:rsidRDefault="00B3769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2024年度财政拨款安排培训费预算0.48万元，支出决算0.48万元，完成预算的100%。决算数较上年减少的主要原因是严格落实厉行节约要求，压缩了培训费的非必要支出。主要用于开展业务培训产生的住宿费、餐费、讲课费等支出。</w:t>
      </w:r>
    </w:p>
    <w:p w14:paraId="3B57933D" w14:textId="77777777" w:rsidR="00461755" w:rsidRDefault="00B3769C">
      <w:pPr>
        <w:ind w:firstLineChars="200" w:firstLine="640"/>
        <w:rPr>
          <w:rFonts w:ascii="楷体_GB2312" w:eastAsia="楷体_GB2312" w:hAnsi="楷体_GB2312" w:cs="楷体_GB2312"/>
          <w:bCs/>
          <w:kern w:val="0"/>
          <w:sz w:val="32"/>
          <w:szCs w:val="32"/>
        </w:rPr>
      </w:pPr>
      <w:r>
        <w:rPr>
          <w:rFonts w:ascii="楷体_GB2312" w:eastAsia="楷体_GB2312" w:hAnsi="楷体_GB2312" w:cs="楷体_GB2312" w:hint="eastAsia"/>
          <w:bCs/>
          <w:kern w:val="0"/>
          <w:sz w:val="32"/>
          <w:szCs w:val="32"/>
        </w:rPr>
        <w:t>（三）会议费支出情况说明</w:t>
      </w:r>
    </w:p>
    <w:bookmarkEnd w:id="24"/>
    <w:p w14:paraId="29B86CB8" w14:textId="77777777" w:rsidR="00461755" w:rsidRDefault="00B3769C">
      <w:pPr>
        <w:ind w:firstLineChars="200" w:firstLine="640"/>
        <w:rPr>
          <w:rFonts w:ascii="Times New Roman" w:hAnsi="Times New Roman" w:cs="Times New Roman"/>
          <w:b/>
          <w:bCs/>
          <w:sz w:val="32"/>
          <w:szCs w:val="32"/>
        </w:rPr>
      </w:pPr>
      <w:r>
        <w:rPr>
          <w:rFonts w:ascii="Times New Roman" w:eastAsia="仿宋_GB2312" w:hAnsi="Times New Roman" w:cs="Times New Roman"/>
          <w:sz w:val="32"/>
          <w:szCs w:val="32"/>
        </w:rPr>
        <w:lastRenderedPageBreak/>
        <w:t>2024</w:t>
      </w:r>
      <w:r>
        <w:rPr>
          <w:rFonts w:ascii="Times New Roman" w:eastAsia="仿宋_GB2312" w:hAnsi="Times New Roman" w:cs="Times New Roman"/>
          <w:sz w:val="32"/>
          <w:szCs w:val="32"/>
        </w:rPr>
        <w:t>年度</w:t>
      </w:r>
      <w:r>
        <w:rPr>
          <w:rFonts w:ascii="Times New Roman" w:eastAsia="仿宋_GB2312" w:hAnsi="Times New Roman" w:cs="Times New Roman"/>
          <w:kern w:val="0"/>
          <w:sz w:val="32"/>
          <w:szCs w:val="32"/>
        </w:rPr>
        <w:t>财政拨款</w:t>
      </w:r>
      <w:r>
        <w:rPr>
          <w:rFonts w:ascii="Times New Roman" w:eastAsia="仿宋_GB2312" w:hAnsi="Times New Roman" w:cs="Times New Roman"/>
          <w:sz w:val="32"/>
          <w:szCs w:val="32"/>
        </w:rPr>
        <w:t>安排会议费</w:t>
      </w:r>
      <w:r>
        <w:rPr>
          <w:rFonts w:ascii="Times New Roman" w:eastAsia="仿宋_GB2312" w:hAnsi="Times New Roman" w:cs="Times New Roman"/>
          <w:kern w:val="0"/>
          <w:sz w:val="32"/>
          <w:szCs w:val="32"/>
        </w:rPr>
        <w:t>预算</w:t>
      </w:r>
      <w:r>
        <w:rPr>
          <w:rFonts w:ascii="Times New Roman" w:eastAsia="仿宋_GB2312" w:hAnsi="Times New Roman" w:cs="Times New Roman"/>
          <w:kern w:val="0"/>
          <w:sz w:val="32"/>
          <w:szCs w:val="32"/>
        </w:rPr>
        <w:t>24.19</w:t>
      </w:r>
      <w:r>
        <w:rPr>
          <w:rFonts w:ascii="Times New Roman" w:eastAsia="仿宋_GB2312" w:hAnsi="Times New Roman" w:cs="Times New Roman"/>
          <w:kern w:val="0"/>
          <w:sz w:val="32"/>
          <w:szCs w:val="32"/>
        </w:rPr>
        <w:t>万元，支出决算</w:t>
      </w:r>
      <w:r>
        <w:rPr>
          <w:rFonts w:ascii="Times New Roman" w:eastAsia="仿宋_GB2312" w:hAnsi="Times New Roman" w:cs="Times New Roman"/>
          <w:kern w:val="0"/>
          <w:sz w:val="32"/>
          <w:szCs w:val="32"/>
        </w:rPr>
        <w:t>24.19</w:t>
      </w:r>
      <w:r>
        <w:rPr>
          <w:rFonts w:ascii="Times New Roman" w:eastAsia="仿宋_GB2312" w:hAnsi="Times New Roman" w:cs="Times New Roman"/>
          <w:kern w:val="0"/>
          <w:sz w:val="32"/>
          <w:szCs w:val="32"/>
        </w:rPr>
        <w:t>万元，完成预算的</w:t>
      </w:r>
      <w:r>
        <w:rPr>
          <w:rFonts w:ascii="Times New Roman" w:eastAsia="仿宋_GB2312" w:hAnsi="Times New Roman" w:cs="Times New Roman"/>
          <w:kern w:val="0"/>
          <w:sz w:val="32"/>
          <w:szCs w:val="32"/>
        </w:rPr>
        <w:t>100%</w:t>
      </w:r>
      <w:r>
        <w:rPr>
          <w:rFonts w:ascii="Times New Roman" w:eastAsia="仿宋_GB2312" w:hAnsi="Times New Roman" w:cs="Times New Roman" w:hint="eastAsia"/>
          <w:kern w:val="0"/>
          <w:sz w:val="32"/>
          <w:szCs w:val="32"/>
        </w:rPr>
        <w:t>。</w:t>
      </w:r>
      <w:r>
        <w:rPr>
          <w:rFonts w:ascii="Times New Roman" w:eastAsia="仿宋_GB2312" w:hAnsi="Times New Roman" w:cs="Times New Roman"/>
          <w:sz w:val="32"/>
          <w:szCs w:val="32"/>
        </w:rPr>
        <w:t>决算数较上年</w:t>
      </w:r>
      <w:r>
        <w:rPr>
          <w:rFonts w:ascii="Times New Roman" w:eastAsia="仿宋_GB2312" w:hAnsi="Times New Roman" w:cs="Times New Roman"/>
          <w:kern w:val="0"/>
          <w:sz w:val="32"/>
          <w:szCs w:val="32"/>
        </w:rPr>
        <w:t>减少</w:t>
      </w:r>
      <w:r>
        <w:rPr>
          <w:rFonts w:ascii="Times New Roman" w:eastAsia="仿宋_GB2312" w:hAnsi="Times New Roman" w:cs="Times New Roman"/>
          <w:sz w:val="32"/>
          <w:szCs w:val="32"/>
        </w:rPr>
        <w:t>的主要原因是严格落实厉行节约要求，压缩了</w:t>
      </w:r>
      <w:r>
        <w:rPr>
          <w:rFonts w:ascii="Times New Roman" w:eastAsia="仿宋_GB2312" w:hAnsi="Times New Roman" w:cs="Times New Roman" w:hint="eastAsia"/>
          <w:sz w:val="32"/>
          <w:szCs w:val="32"/>
        </w:rPr>
        <w:t>费的</w:t>
      </w:r>
      <w:r>
        <w:rPr>
          <w:rFonts w:ascii="Times New Roman" w:eastAsia="仿宋_GB2312" w:hAnsi="Times New Roman" w:cs="Times New Roman"/>
          <w:sz w:val="32"/>
          <w:szCs w:val="32"/>
        </w:rPr>
        <w:t>非必要支出</w:t>
      </w:r>
      <w:r>
        <w:rPr>
          <w:rFonts w:ascii="Times New Roman" w:eastAsia="仿宋_GB2312" w:hAnsi="Times New Roman" w:cs="Times New Roman" w:hint="eastAsia"/>
          <w:sz w:val="32"/>
          <w:szCs w:val="32"/>
        </w:rPr>
        <w:t>。</w:t>
      </w:r>
      <w:r>
        <w:rPr>
          <w:rFonts w:ascii="Times New Roman" w:eastAsia="仿宋_GB2312" w:hAnsi="Times New Roman" w:cs="Times New Roman"/>
          <w:kern w:val="0"/>
          <w:sz w:val="32"/>
          <w:szCs w:val="32"/>
        </w:rPr>
        <w:t>主要用于</w:t>
      </w:r>
      <w:r>
        <w:rPr>
          <w:rFonts w:ascii="仿宋_GB2312" w:eastAsia="仿宋_GB2312" w:hAnsi="宋体" w:cs="仿宋_GB2312" w:hint="eastAsia"/>
          <w:kern w:val="0"/>
          <w:sz w:val="32"/>
          <w:szCs w:val="32"/>
        </w:rPr>
        <w:t>召开会议产生的住宿费、餐费、交通等支出</w:t>
      </w:r>
      <w:r>
        <w:rPr>
          <w:rFonts w:ascii="楷体" w:eastAsia="楷体" w:hAnsi="楷体" w:cs="楷体" w:hint="eastAsia"/>
          <w:iCs/>
          <w:kern w:val="0"/>
          <w:sz w:val="32"/>
          <w:szCs w:val="32"/>
        </w:rPr>
        <w:t>。</w:t>
      </w:r>
    </w:p>
    <w:p w14:paraId="232F955A" w14:textId="77777777" w:rsidR="00461755" w:rsidRDefault="00B3769C">
      <w:pPr>
        <w:widowControl/>
        <w:ind w:firstLineChars="200" w:firstLine="640"/>
        <w:jc w:val="left"/>
        <w:rPr>
          <w:rFonts w:ascii="Times New Roman" w:eastAsia="黑体" w:hAnsi="Times New Roman" w:cs="Times New Roman"/>
          <w:kern w:val="0"/>
          <w:sz w:val="32"/>
          <w:szCs w:val="32"/>
        </w:rPr>
      </w:pPr>
      <w:r>
        <w:rPr>
          <w:rFonts w:ascii="Times New Roman" w:eastAsia="黑体" w:hAnsi="Times New Roman" w:cs="Times New Roman"/>
          <w:kern w:val="0"/>
          <w:sz w:val="32"/>
          <w:szCs w:val="32"/>
        </w:rPr>
        <w:t>十、机关运行经费支出情况说明</w:t>
      </w:r>
    </w:p>
    <w:p w14:paraId="7381749C" w14:textId="77777777" w:rsidR="00461755" w:rsidRDefault="00B3769C">
      <w:pPr>
        <w:widowControl/>
        <w:ind w:firstLineChars="200" w:firstLine="640"/>
        <w:jc w:val="left"/>
        <w:rPr>
          <w:rFonts w:ascii="仿宋_GB2312" w:eastAsia="仿宋_GB2312" w:hAnsi="仿宋_GB2312" w:cs="仿宋_GB2312"/>
          <w:kern w:val="0"/>
          <w:sz w:val="32"/>
          <w:szCs w:val="32"/>
        </w:rPr>
      </w:pPr>
      <w:bookmarkStart w:id="26" w:name="_Hlk209974919"/>
      <w:r>
        <w:rPr>
          <w:rFonts w:ascii="仿宋_GB2312" w:eastAsia="仿宋_GB2312" w:hAnsi="仿宋_GB2312" w:cs="仿宋_GB2312" w:hint="eastAsia"/>
          <w:sz w:val="32"/>
          <w:szCs w:val="32"/>
        </w:rPr>
        <w:t>2024年度</w:t>
      </w:r>
      <w:r>
        <w:rPr>
          <w:rFonts w:ascii="仿宋_GB2312" w:eastAsia="仿宋_GB2312" w:hAnsi="仿宋_GB2312" w:cs="仿宋_GB2312" w:hint="eastAsia"/>
          <w:kern w:val="0"/>
          <w:sz w:val="32"/>
          <w:szCs w:val="32"/>
        </w:rPr>
        <w:t>机关运行经费预算108.7万元，支出决算108.7万元，完成预算的100%。支出决算比上年增加38.2万元，主要原因是本年度新增基层调研、稳增长等专项工作任务，相应的交通、差旅及配套保障支出增加，同时办公设施更新维护也带来额外开支。</w:t>
      </w:r>
    </w:p>
    <w:bookmarkEnd w:id="26"/>
    <w:p w14:paraId="4863797C" w14:textId="77777777" w:rsidR="00461755" w:rsidRDefault="00B3769C">
      <w:pPr>
        <w:widowControl/>
        <w:ind w:firstLineChars="200" w:firstLine="640"/>
        <w:jc w:val="left"/>
        <w:rPr>
          <w:rFonts w:ascii="Times New Roman" w:eastAsia="黑体" w:hAnsi="Times New Roman" w:cs="Times New Roman"/>
          <w:kern w:val="0"/>
          <w:sz w:val="32"/>
          <w:szCs w:val="32"/>
        </w:rPr>
      </w:pPr>
      <w:r>
        <w:rPr>
          <w:rFonts w:ascii="Times New Roman" w:eastAsia="黑体" w:hAnsi="Times New Roman" w:cs="Times New Roman"/>
          <w:kern w:val="0"/>
          <w:sz w:val="32"/>
          <w:szCs w:val="32"/>
        </w:rPr>
        <w:t>十一、政府采购支出情况说明</w:t>
      </w:r>
    </w:p>
    <w:p w14:paraId="2B386AC8" w14:textId="77777777" w:rsidR="00461755" w:rsidRDefault="00B3769C">
      <w:pPr>
        <w:widowControl/>
        <w:ind w:firstLineChars="200" w:firstLine="640"/>
        <w:jc w:val="left"/>
        <w:rPr>
          <w:rFonts w:ascii="仿宋_GB2312" w:eastAsia="仿宋_GB2312" w:hAnsi="仿宋_GB2312" w:cs="仿宋_GB2312"/>
          <w:kern w:val="0"/>
          <w:sz w:val="32"/>
          <w:szCs w:val="32"/>
        </w:rPr>
      </w:pPr>
      <w:bookmarkStart w:id="27" w:name="_Hlk209974982"/>
      <w:r>
        <w:rPr>
          <w:rFonts w:ascii="仿宋_GB2312" w:eastAsia="仿宋_GB2312" w:hAnsi="仿宋_GB2312" w:cs="仿宋_GB2312" w:hint="eastAsia"/>
          <w:kern w:val="0"/>
          <w:sz w:val="32"/>
          <w:szCs w:val="32"/>
        </w:rPr>
        <w:t>（一）</w:t>
      </w:r>
      <w:r>
        <w:rPr>
          <w:rFonts w:ascii="仿宋_GB2312" w:eastAsia="仿宋_GB2312" w:hAnsi="仿宋_GB2312" w:cs="仿宋_GB2312" w:hint="eastAsia"/>
          <w:sz w:val="32"/>
          <w:szCs w:val="32"/>
        </w:rPr>
        <w:t>2024年度</w:t>
      </w:r>
      <w:r>
        <w:rPr>
          <w:rFonts w:ascii="仿宋_GB2312" w:eastAsia="仿宋_GB2312" w:hAnsi="仿宋_GB2312" w:cs="仿宋_GB2312" w:hint="eastAsia"/>
          <w:kern w:val="0"/>
          <w:sz w:val="32"/>
          <w:szCs w:val="32"/>
        </w:rPr>
        <w:t xml:space="preserve">政府采购支出总额共124万元，其中：政府采购货物支出0万元、政府采购工程支出0万元、政府采购服务支出124万元。 </w:t>
      </w:r>
    </w:p>
    <w:p w14:paraId="2E65413D" w14:textId="77777777" w:rsidR="00461755" w:rsidRDefault="00B3769C">
      <w:pPr>
        <w:widowControl/>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政府采购授予中小企业合同金额0万元，占政府采购支出合同总额的0%，其中：授予小微企业合同金额0万元，占授予中小企业合同金额的0%；货物采购授予中小企业合同金额占政府采购货物支出合同的0%，工程采购授予中小企业合同金额占政府采购工程支出合同的0%，服务采购授予中小企业合同金额占政府采购服务支出合同的0%。</w:t>
      </w:r>
    </w:p>
    <w:bookmarkEnd w:id="27"/>
    <w:p w14:paraId="7D849F0B" w14:textId="77777777" w:rsidR="00461755" w:rsidRDefault="00B3769C">
      <w:pPr>
        <w:widowControl/>
        <w:ind w:firstLineChars="200" w:firstLine="640"/>
        <w:jc w:val="left"/>
        <w:rPr>
          <w:rFonts w:ascii="Times New Roman" w:eastAsia="黑体" w:hAnsi="Times New Roman" w:cs="Times New Roman"/>
          <w:kern w:val="0"/>
          <w:sz w:val="32"/>
          <w:szCs w:val="32"/>
        </w:rPr>
      </w:pPr>
      <w:r>
        <w:rPr>
          <w:rFonts w:ascii="Times New Roman" w:eastAsia="黑体" w:hAnsi="Times New Roman" w:cs="Times New Roman"/>
          <w:kern w:val="0"/>
          <w:sz w:val="32"/>
          <w:szCs w:val="32"/>
        </w:rPr>
        <w:t>十二、国有资产占用及购置情况说明</w:t>
      </w:r>
    </w:p>
    <w:p w14:paraId="63D659B0" w14:textId="77777777" w:rsidR="00461755" w:rsidRDefault="00B3769C">
      <w:pPr>
        <w:ind w:firstLine="640"/>
        <w:rPr>
          <w:rFonts w:ascii="仿宋_GB2312" w:eastAsia="仿宋_GB2312" w:hAnsi="仿宋_GB2312" w:cs="仿宋_GB2312"/>
          <w:sz w:val="32"/>
          <w:szCs w:val="32"/>
        </w:rPr>
      </w:pPr>
      <w:bookmarkStart w:id="28" w:name="_Hlk209975016"/>
      <w:r>
        <w:rPr>
          <w:rFonts w:ascii="Times New Roman" w:eastAsia="仿宋_GB2312" w:hAnsi="Times New Roman" w:cs="Times New Roman"/>
          <w:sz w:val="32"/>
          <w:szCs w:val="32"/>
        </w:rPr>
        <w:lastRenderedPageBreak/>
        <w:t>截至</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年末，本部门（部门）共有车辆</w:t>
      </w:r>
      <w:r>
        <w:rPr>
          <w:rFonts w:ascii="Times New Roman" w:eastAsia="仿宋_GB2312" w:hAnsi="Times New Roman" w:cs="Times New Roman"/>
          <w:sz w:val="32"/>
          <w:szCs w:val="32"/>
        </w:rPr>
        <w:t>2</w:t>
      </w:r>
      <w:r>
        <w:rPr>
          <w:rFonts w:ascii="Times New Roman" w:eastAsia="仿宋_GB2312" w:hAnsi="Times New Roman" w:cs="Times New Roman"/>
          <w:sz w:val="32"/>
          <w:szCs w:val="32"/>
        </w:rPr>
        <w:t>辆，</w:t>
      </w:r>
      <w:r>
        <w:rPr>
          <w:rFonts w:ascii="仿宋_GB2312" w:eastAsia="仿宋_GB2312" w:hAnsi="仿宋_GB2312" w:cs="仿宋_GB2312" w:hint="eastAsia"/>
          <w:sz w:val="32"/>
          <w:szCs w:val="32"/>
        </w:rPr>
        <w:t>其中副部（省）级以上领导用车0辆，主要领导干部用车0辆，机要通信用车0辆，应急保障用车2辆，执法执勤用车0辆，特种专业技术用车0辆，离退休干部用车0辆，其他用车0辆。单价100万元及以上的设备（不含车辆）0台（套）。</w:t>
      </w:r>
    </w:p>
    <w:p w14:paraId="313B95F9" w14:textId="77777777" w:rsidR="00461755" w:rsidRDefault="00B3769C">
      <w:p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2024年当年购置车辆0辆；购置单价100万元以上的设备0台（套）。</w:t>
      </w:r>
    </w:p>
    <w:bookmarkEnd w:id="28"/>
    <w:p w14:paraId="55F52D8C" w14:textId="77777777" w:rsidR="00461755" w:rsidRDefault="00B3769C">
      <w:pPr>
        <w:widowControl/>
        <w:ind w:firstLineChars="200" w:firstLine="640"/>
        <w:jc w:val="left"/>
        <w:rPr>
          <w:rFonts w:ascii="Times New Roman" w:eastAsia="黑体" w:hAnsi="Times New Roman" w:cs="Times New Roman"/>
          <w:kern w:val="0"/>
          <w:sz w:val="32"/>
          <w:szCs w:val="32"/>
        </w:rPr>
      </w:pPr>
      <w:r>
        <w:rPr>
          <w:rFonts w:ascii="Times New Roman" w:eastAsia="黑体" w:hAnsi="Times New Roman" w:cs="Times New Roman"/>
          <w:kern w:val="0"/>
          <w:sz w:val="32"/>
          <w:szCs w:val="32"/>
        </w:rPr>
        <w:t>十三、预算绩效情况说明</w:t>
      </w:r>
    </w:p>
    <w:p w14:paraId="39E147A0" w14:textId="77777777" w:rsidR="00461755" w:rsidRDefault="00B3769C">
      <w:pPr>
        <w:widowControl/>
        <w:ind w:firstLine="640"/>
        <w:jc w:val="left"/>
        <w:rPr>
          <w:rFonts w:ascii="Times New Roman" w:eastAsia="楷体_GB2312" w:hAnsi="Times New Roman" w:cs="Times New Roman"/>
          <w:bCs/>
          <w:kern w:val="0"/>
          <w:sz w:val="32"/>
          <w:szCs w:val="32"/>
        </w:rPr>
      </w:pPr>
      <w:r>
        <w:rPr>
          <w:rFonts w:ascii="Times New Roman" w:eastAsia="楷体_GB2312" w:hAnsi="Times New Roman" w:cs="Times New Roman"/>
          <w:bCs/>
          <w:kern w:val="0"/>
          <w:sz w:val="32"/>
          <w:szCs w:val="32"/>
        </w:rPr>
        <w:t>（一）预算绩效管理工作开展情况说明</w:t>
      </w:r>
    </w:p>
    <w:p w14:paraId="128590F5" w14:textId="77777777" w:rsidR="00461755" w:rsidRDefault="00B3769C">
      <w:p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组织开展了2024年度部门整体支出绩效自评工作，从评价情况来看，本单位支出资金能够严格按照下达预算文件要求和财政资金管理及项目资金的管理的有关文件规范严格执行，项目执行达到预期效果。</w:t>
      </w:r>
    </w:p>
    <w:p w14:paraId="2916B397" w14:textId="77777777" w:rsidR="00461755" w:rsidRDefault="00B3769C">
      <w:pPr>
        <w:ind w:firstLine="640"/>
        <w:rPr>
          <w:rFonts w:ascii="仿宋_GB2312" w:eastAsia="仿宋_GB2312" w:hAnsi="仿宋_GB2312" w:cs="仿宋_GB2312"/>
          <w:sz w:val="32"/>
          <w:szCs w:val="32"/>
        </w:rPr>
      </w:pPr>
      <w:bookmarkStart w:id="29" w:name="_Hlk210026177"/>
      <w:r>
        <w:rPr>
          <w:rFonts w:ascii="仿宋_GB2312" w:eastAsia="仿宋_GB2312" w:hAnsi="仿宋_GB2312" w:cs="仿宋_GB2312" w:hint="eastAsia"/>
          <w:sz w:val="32"/>
          <w:szCs w:val="32"/>
        </w:rPr>
        <w:t>本单位2024年度不单独填写绩效自评表。</w:t>
      </w:r>
      <w:bookmarkEnd w:id="29"/>
    </w:p>
    <w:p w14:paraId="66F45E40" w14:textId="77777777" w:rsidR="00461755" w:rsidRDefault="00B3769C">
      <w:pPr>
        <w:widowControl/>
        <w:ind w:firstLine="640"/>
        <w:jc w:val="left"/>
        <w:rPr>
          <w:sz w:val="32"/>
          <w:szCs w:val="32"/>
        </w:rPr>
      </w:pPr>
      <w:r>
        <w:rPr>
          <w:rFonts w:ascii="Times New Roman" w:eastAsia="楷体_GB2312" w:hAnsi="Times New Roman" w:cs="Times New Roman"/>
          <w:bCs/>
          <w:kern w:val="0"/>
          <w:sz w:val="32"/>
          <w:szCs w:val="32"/>
        </w:rPr>
        <w:t>（二）部门整体支出绩效自评结果</w:t>
      </w:r>
    </w:p>
    <w:p w14:paraId="47D0B882" w14:textId="77777777" w:rsidR="00461755" w:rsidRDefault="00B3769C">
      <w:pPr>
        <w:ind w:firstLine="641"/>
        <w:rPr>
          <w:rFonts w:ascii="仿宋_GB2312" w:eastAsia="仿宋_GB2312" w:hAnsi="楷体" w:cs="楷体"/>
          <w:sz w:val="32"/>
          <w:szCs w:val="32"/>
        </w:rPr>
      </w:pPr>
      <w:bookmarkStart w:id="30" w:name="_Hlk210026595"/>
      <w:r>
        <w:rPr>
          <w:rFonts w:ascii="仿宋_GB2312" w:eastAsia="仿宋_GB2312" w:hAnsi="仿宋_GB2312" w:cs="仿宋_GB2312" w:hint="eastAsia"/>
          <w:sz w:val="32"/>
          <w:szCs w:val="32"/>
        </w:rPr>
        <w:t>根据年度设定的绩效目标，部门整体支出自评得分94.43，全年预算数3957.2万元，执行数3733.05万元，完成预算的94.3%。</w:t>
      </w:r>
      <w:r>
        <w:rPr>
          <w:rFonts w:ascii="仿宋_GB2312" w:eastAsia="仿宋_GB2312" w:hAnsi="仿宋_GB2312" w:cs="仿宋_GB2312" w:hint="eastAsia"/>
          <w:b/>
          <w:bCs/>
          <w:sz w:val="32"/>
          <w:szCs w:val="32"/>
        </w:rPr>
        <w:t>本年度本部门总体运行情况及取得的成绩：</w:t>
      </w:r>
      <w:r>
        <w:rPr>
          <w:rFonts w:ascii="仿宋_GB2312" w:eastAsia="仿宋_GB2312" w:hAnsi="仿宋_GB2312" w:cs="仿宋_GB2312" w:hint="eastAsia"/>
          <w:sz w:val="32"/>
          <w:szCs w:val="32"/>
        </w:rPr>
        <w:t>人员经费执行率100%，切实保障了人员工资、福利等支出；运转经费执行率 94.25%，保障了部门日常办公、设备购置等运转需求；市级专项执行率89.88%，在经济运行监测、课题</w:t>
      </w:r>
      <w:r>
        <w:rPr>
          <w:rFonts w:ascii="仿宋_GB2312" w:eastAsia="仿宋_GB2312" w:hAnsi="仿宋_GB2312" w:cs="仿宋_GB2312" w:hint="eastAsia"/>
          <w:sz w:val="32"/>
          <w:szCs w:val="32"/>
        </w:rPr>
        <w:lastRenderedPageBreak/>
        <w:t>研究、项目谋划、投资推动、能源保障等多领域执行成效显著，虽部分专项存在预算执行率未达 100% 等情况，但整体有力推动了区域经济发展、保障民生并促进可持续发展。</w:t>
      </w:r>
      <w:r>
        <w:rPr>
          <w:rFonts w:ascii="仿宋_GB2312" w:eastAsia="仿宋_GB2312" w:hAnsi="仿宋_GB2312" w:cs="仿宋_GB2312" w:hint="eastAsia"/>
          <w:b/>
          <w:bCs/>
          <w:sz w:val="32"/>
          <w:szCs w:val="32"/>
        </w:rPr>
        <w:t>发现的问题及原因：</w:t>
      </w:r>
      <w:r>
        <w:rPr>
          <w:rFonts w:ascii="仿宋_GB2312" w:eastAsia="仿宋_GB2312" w:hAnsi="仿宋_GB2312" w:cs="仿宋_GB2312" w:hint="eastAsia"/>
          <w:sz w:val="32"/>
          <w:szCs w:val="32"/>
        </w:rPr>
        <w:t>一是成本指标未完成，全年部门支出超出预算指标值，主要原因可能是部分项目预算编制不够精准，未充分考虑物价波动、业务拓展等因素；在预算执行过程中，缺乏有效的成本控制措施，对支出监控不足；二是部分项目预算执行率未达 100%，可能由于项目实施过程中存在一些不可预见因素，导致资金使用进度滞后；或者在资金拨付流程上存在一定繁琐环节，影响资金到位及时性。</w:t>
      </w:r>
      <w:r>
        <w:rPr>
          <w:rFonts w:ascii="仿宋_GB2312" w:eastAsia="仿宋_GB2312" w:hAnsi="仿宋_GB2312" w:cs="仿宋_GB2312" w:hint="eastAsia"/>
          <w:b/>
          <w:bCs/>
          <w:sz w:val="32"/>
          <w:szCs w:val="32"/>
        </w:rPr>
        <w:t>下一步改进措施：</w:t>
      </w:r>
      <w:r>
        <w:rPr>
          <w:rFonts w:ascii="仿宋_GB2312" w:eastAsia="仿宋_GB2312" w:hAnsi="仿宋_GB2312" w:cs="仿宋_GB2312" w:hint="eastAsia"/>
          <w:sz w:val="32"/>
          <w:szCs w:val="32"/>
        </w:rPr>
        <w:t>一是加强预算编制管理，在编制预算前，进行充分的市场调研和项目评估，结合业务实际需求和物价走势，科学合理编制预算，提高预算准确性；二是强化预算执行监控，建立健全预算执行监控机制，定期对预算执行情况进行分析和通报，及时发现并解决执行过程中的问题；优化资金拨付流程，提高资金使用效率；三是严格成本控制，树立成本效益意识，在项目实施过程中，加强成本核算和控制，严格审批各项支出，杜绝浪费现象。</w:t>
      </w:r>
      <w:bookmarkEnd w:id="30"/>
    </w:p>
    <w:p w14:paraId="2D432559" w14:textId="77777777" w:rsidR="00461755" w:rsidRDefault="00B3769C">
      <w:pPr>
        <w:widowControl/>
        <w:jc w:val="left"/>
      </w:pPr>
      <w:bookmarkStart w:id="31" w:name="_Hlk210026642"/>
      <w:r>
        <w:rPr>
          <w:noProof/>
        </w:rPr>
        <w:lastRenderedPageBreak/>
        <w:drawing>
          <wp:inline distT="0" distB="0" distL="0" distR="0" wp14:anchorId="4DD8D489" wp14:editId="125E757F">
            <wp:extent cx="5273040" cy="8739505"/>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73040" cy="8739505"/>
                    </a:xfrm>
                    <a:prstGeom prst="rect">
                      <a:avLst/>
                    </a:prstGeom>
                    <a:noFill/>
                    <a:ln>
                      <a:noFill/>
                    </a:ln>
                  </pic:spPr>
                </pic:pic>
              </a:graphicData>
            </a:graphic>
          </wp:inline>
        </w:drawing>
      </w:r>
      <w:bookmarkEnd w:id="31"/>
    </w:p>
    <w:p w14:paraId="03FCA42C" w14:textId="77777777" w:rsidR="00461755" w:rsidRDefault="00B3769C">
      <w:pPr>
        <w:widowControl/>
        <w:jc w:val="left"/>
      </w:pPr>
      <w:bookmarkStart w:id="32" w:name="_Hlk210026654"/>
      <w:r>
        <w:rPr>
          <w:noProof/>
        </w:rPr>
        <w:lastRenderedPageBreak/>
        <w:drawing>
          <wp:inline distT="0" distB="0" distL="0" distR="0" wp14:anchorId="4CCE47ED" wp14:editId="20AA312E">
            <wp:extent cx="5231130" cy="8864600"/>
            <wp:effectExtent l="0" t="0" r="762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231130" cy="8864600"/>
                    </a:xfrm>
                    <a:prstGeom prst="rect">
                      <a:avLst/>
                    </a:prstGeom>
                    <a:noFill/>
                  </pic:spPr>
                </pic:pic>
              </a:graphicData>
            </a:graphic>
          </wp:inline>
        </w:drawing>
      </w:r>
      <w:bookmarkEnd w:id="32"/>
    </w:p>
    <w:p w14:paraId="0E32E17D" w14:textId="77777777" w:rsidR="00461755" w:rsidRDefault="00B3769C">
      <w:pPr>
        <w:widowControl/>
        <w:jc w:val="left"/>
        <w:rPr>
          <w:rFonts w:ascii="Times New Roman" w:eastAsia="楷体_GB2312" w:hAnsi="Times New Roman" w:cs="Times New Roman"/>
          <w:bCs/>
          <w:kern w:val="0"/>
          <w:sz w:val="32"/>
          <w:szCs w:val="32"/>
        </w:rPr>
      </w:pPr>
      <w:bookmarkStart w:id="33" w:name="_Hlk210026664"/>
      <w:r>
        <w:rPr>
          <w:rFonts w:hint="eastAsia"/>
          <w:noProof/>
        </w:rPr>
        <w:lastRenderedPageBreak/>
        <w:drawing>
          <wp:inline distT="0" distB="0" distL="0" distR="0" wp14:anchorId="3C2D82A2" wp14:editId="38F96149">
            <wp:extent cx="5273040" cy="305943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273040" cy="3059430"/>
                    </a:xfrm>
                    <a:prstGeom prst="rect">
                      <a:avLst/>
                    </a:prstGeom>
                    <a:noFill/>
                    <a:ln>
                      <a:noFill/>
                    </a:ln>
                  </pic:spPr>
                </pic:pic>
              </a:graphicData>
            </a:graphic>
          </wp:inline>
        </w:drawing>
      </w:r>
      <w:bookmarkEnd w:id="33"/>
    </w:p>
    <w:p w14:paraId="5101200C" w14:textId="77777777" w:rsidR="00461755" w:rsidRDefault="00B3769C">
      <w:pPr>
        <w:widowControl/>
        <w:ind w:firstLine="640"/>
        <w:jc w:val="left"/>
        <w:rPr>
          <w:rFonts w:ascii="Times New Roman" w:eastAsia="楷体_GB2312" w:hAnsi="Times New Roman" w:cs="Times New Roman"/>
          <w:bCs/>
          <w:kern w:val="0"/>
          <w:sz w:val="32"/>
          <w:szCs w:val="32"/>
        </w:rPr>
      </w:pPr>
      <w:r>
        <w:rPr>
          <w:rFonts w:ascii="Times New Roman" w:eastAsia="楷体_GB2312" w:hAnsi="Times New Roman" w:cs="Times New Roman"/>
          <w:bCs/>
          <w:kern w:val="0"/>
          <w:sz w:val="32"/>
          <w:szCs w:val="32"/>
        </w:rPr>
        <w:t>（三）项目绩效自评结果</w:t>
      </w:r>
    </w:p>
    <w:p w14:paraId="33374992" w14:textId="77777777" w:rsidR="00461755" w:rsidRDefault="00B3769C">
      <w:pPr>
        <w:ind w:firstLine="641"/>
        <w:rPr>
          <w:rFonts w:ascii="仿宋_GB2312" w:eastAsia="仿宋_GB2312" w:hAnsi="仿宋_GB2312" w:cs="仿宋_GB2312"/>
          <w:sz w:val="32"/>
          <w:szCs w:val="32"/>
        </w:rPr>
      </w:pPr>
      <w:bookmarkStart w:id="34" w:name="_Hlk210026746"/>
      <w:r>
        <w:rPr>
          <w:rFonts w:ascii="仿宋_GB2312" w:eastAsia="仿宋_GB2312" w:hAnsi="仿宋_GB2312" w:cs="仿宋_GB2312" w:hint="eastAsia"/>
          <w:sz w:val="32"/>
          <w:szCs w:val="32"/>
        </w:rPr>
        <w:t>本单位2024年度不单独填写绩效自评表。</w:t>
      </w:r>
    </w:p>
    <w:bookmarkEnd w:id="34"/>
    <w:p w14:paraId="6B0E3E61" w14:textId="77777777" w:rsidR="00461755" w:rsidRDefault="00B3769C">
      <w:pPr>
        <w:widowControl/>
        <w:ind w:firstLine="640"/>
        <w:jc w:val="left"/>
        <w:rPr>
          <w:rFonts w:ascii="Times New Roman" w:eastAsia="楷体_GB2312" w:hAnsi="Times New Roman" w:cs="Times New Roman"/>
          <w:bCs/>
          <w:kern w:val="0"/>
          <w:sz w:val="32"/>
          <w:szCs w:val="32"/>
        </w:rPr>
      </w:pPr>
      <w:r>
        <w:rPr>
          <w:rFonts w:ascii="Times New Roman" w:eastAsia="楷体_GB2312" w:hAnsi="Times New Roman" w:cs="Times New Roman"/>
          <w:bCs/>
          <w:kern w:val="0"/>
          <w:sz w:val="32"/>
          <w:szCs w:val="32"/>
        </w:rPr>
        <w:t>（四）专项资金绩效自评结果</w:t>
      </w:r>
    </w:p>
    <w:p w14:paraId="1C7BEF00" w14:textId="77777777" w:rsidR="00461755" w:rsidRDefault="00B3769C">
      <w:pPr>
        <w:ind w:firstLine="641"/>
        <w:rPr>
          <w:rFonts w:ascii="仿宋_GB2312" w:eastAsia="仿宋_GB2312" w:hAnsi="仿宋_GB2312" w:cs="仿宋_GB2312"/>
          <w:sz w:val="32"/>
          <w:szCs w:val="32"/>
        </w:rPr>
      </w:pPr>
      <w:bookmarkStart w:id="35" w:name="_Hlk210026773"/>
      <w:r>
        <w:rPr>
          <w:rFonts w:ascii="仿宋_GB2312" w:eastAsia="仿宋_GB2312" w:hAnsi="仿宋_GB2312" w:cs="仿宋_GB2312" w:hint="eastAsia"/>
          <w:sz w:val="32"/>
          <w:szCs w:val="32"/>
        </w:rPr>
        <w:t>单位不主管专项资金。</w:t>
      </w:r>
    </w:p>
    <w:bookmarkEnd w:id="35"/>
    <w:p w14:paraId="598C8BDF" w14:textId="77777777" w:rsidR="00461755" w:rsidRDefault="00B3769C">
      <w:pPr>
        <w:widowControl/>
        <w:ind w:firstLine="640"/>
        <w:jc w:val="left"/>
        <w:rPr>
          <w:rFonts w:ascii="Times New Roman" w:eastAsia="楷体_GB2312" w:hAnsi="Times New Roman" w:cs="Times New Roman"/>
          <w:bCs/>
          <w:kern w:val="0"/>
          <w:sz w:val="32"/>
          <w:szCs w:val="32"/>
        </w:rPr>
      </w:pPr>
      <w:r>
        <w:rPr>
          <w:rFonts w:ascii="Times New Roman" w:eastAsia="楷体_GB2312" w:hAnsi="Times New Roman" w:cs="Times New Roman"/>
          <w:bCs/>
          <w:kern w:val="0"/>
          <w:sz w:val="32"/>
          <w:szCs w:val="32"/>
        </w:rPr>
        <w:t>（五）部门重点评价项目绩效评价结果</w:t>
      </w:r>
    </w:p>
    <w:p w14:paraId="7FDEBEAD" w14:textId="77777777" w:rsidR="00461755" w:rsidRDefault="00B3769C">
      <w:pPr>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无部门重点评价项目。</w:t>
      </w:r>
    </w:p>
    <w:p w14:paraId="1F45FCCB" w14:textId="77777777" w:rsidR="00461755" w:rsidRDefault="00B3769C">
      <w:pPr>
        <w:widowControl/>
        <w:ind w:firstLine="640"/>
        <w:jc w:val="left"/>
        <w:rPr>
          <w:rFonts w:ascii="Times New Roman" w:eastAsia="楷体_GB2312" w:hAnsi="Times New Roman" w:cs="Times New Roman"/>
          <w:bCs/>
          <w:kern w:val="0"/>
          <w:sz w:val="32"/>
          <w:szCs w:val="32"/>
        </w:rPr>
      </w:pPr>
      <w:r>
        <w:rPr>
          <w:rFonts w:ascii="Times New Roman" w:eastAsia="楷体_GB2312" w:hAnsi="Times New Roman" w:cs="Times New Roman"/>
          <w:bCs/>
          <w:kern w:val="0"/>
          <w:sz w:val="32"/>
          <w:szCs w:val="32"/>
        </w:rPr>
        <w:t>（六）财政重点评价项目绩效评价结果</w:t>
      </w:r>
    </w:p>
    <w:p w14:paraId="5AFFBAA8" w14:textId="77777777" w:rsidR="00461755" w:rsidRDefault="00B3769C">
      <w:pPr>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1.2023年市级重大项目前期费。评价得分56.08，综合评价等级为“差”（优、良、中）。详见所附报告《2023年市级重大项目前期费绩效评价报告》。</w:t>
      </w:r>
    </w:p>
    <w:p w14:paraId="1FA8A0BD" w14:textId="77777777" w:rsidR="00461755" w:rsidRDefault="00B3769C">
      <w:pPr>
        <w:widowControl/>
        <w:ind w:firstLineChars="200" w:firstLine="640"/>
        <w:jc w:val="left"/>
        <w:rPr>
          <w:rFonts w:ascii="Times New Roman" w:eastAsia="黑体" w:hAnsi="Times New Roman" w:cs="Times New Roman"/>
          <w:kern w:val="0"/>
          <w:sz w:val="32"/>
          <w:szCs w:val="32"/>
        </w:rPr>
      </w:pPr>
      <w:r>
        <w:rPr>
          <w:rFonts w:ascii="Times New Roman" w:eastAsia="黑体" w:hAnsi="Times New Roman" w:cs="Times New Roman"/>
          <w:kern w:val="0"/>
          <w:sz w:val="32"/>
          <w:szCs w:val="32"/>
        </w:rPr>
        <w:t>十四、其他需要说明的情况</w:t>
      </w:r>
    </w:p>
    <w:p w14:paraId="232B471B" w14:textId="77777777" w:rsidR="00461755" w:rsidRDefault="00B3769C">
      <w:pPr>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1.决算公开表格中金额数值保留两位小数，公开数据为四舍五入计算结果；个别数据项之间，个别数据合计项与分项数字之和存在小数点后尾差。</w:t>
      </w:r>
    </w:p>
    <w:p w14:paraId="4E53A57C" w14:textId="77777777" w:rsidR="00461755" w:rsidRDefault="00B3769C">
      <w:pPr>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2.决算公开表格中部分数据约值万元时显示为零，实际不为零。</w:t>
      </w:r>
    </w:p>
    <w:p w14:paraId="7A00553E" w14:textId="77777777" w:rsidR="00461755" w:rsidRDefault="00B3769C">
      <w:pPr>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3.汉中市发展和改革委员会决算数据反映1个单位收支情况。</w:t>
      </w:r>
    </w:p>
    <w:p w14:paraId="79D32B7F" w14:textId="77777777" w:rsidR="00461755" w:rsidRDefault="00B3769C">
      <w:pPr>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4. </w:t>
      </w:r>
      <w:bookmarkStart w:id="36" w:name="_Hlk210027172"/>
      <w:r>
        <w:rPr>
          <w:rFonts w:ascii="仿宋_GB2312" w:eastAsia="仿宋_GB2312" w:hAnsi="仿宋_GB2312" w:cs="仿宋_GB2312" w:hint="eastAsia"/>
          <w:sz w:val="32"/>
          <w:szCs w:val="32"/>
        </w:rPr>
        <w:t>不涉及机构改革，无预算单位变化调整。</w:t>
      </w:r>
    </w:p>
    <w:p w14:paraId="3538B0A2" w14:textId="77777777" w:rsidR="00461755" w:rsidRDefault="00B3769C">
      <w:pPr>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5.决算公开联系方式及信息反馈渠道。联系电话：（0916）2626682。如电话号码发生变更，请通过其他公开渠道另行获取，本文本不再更新。</w:t>
      </w:r>
    </w:p>
    <w:bookmarkEnd w:id="36"/>
    <w:p w14:paraId="5ADCF651" w14:textId="77777777" w:rsidR="00461755" w:rsidRDefault="00B3769C">
      <w:pPr>
        <w:ind w:firstLine="641"/>
        <w:rPr>
          <w:rFonts w:ascii="Times New Roman" w:eastAsia="方正小标宋简体" w:hAnsi="Times New Roman" w:cs="Times New Roman"/>
          <w:kern w:val="0"/>
          <w:sz w:val="44"/>
          <w:szCs w:val="44"/>
        </w:rPr>
      </w:pPr>
      <w:r>
        <w:rPr>
          <w:rFonts w:ascii="仿宋_GB2312" w:eastAsia="仿宋_GB2312" w:hAnsi="仿宋_GB2312" w:cs="仿宋_GB2312" w:hint="eastAsia"/>
          <w:sz w:val="32"/>
          <w:szCs w:val="32"/>
        </w:rPr>
        <w:br w:type="page"/>
      </w:r>
    </w:p>
    <w:p w14:paraId="69E2557E" w14:textId="77777777" w:rsidR="00461755" w:rsidRDefault="00B3769C">
      <w:pPr>
        <w:jc w:val="center"/>
        <w:rPr>
          <w:rFonts w:ascii="Times New Roman" w:eastAsia="方正小标宋简体" w:hAnsi="Times New Roman" w:cs="Times New Roman"/>
          <w:kern w:val="0"/>
          <w:sz w:val="44"/>
          <w:szCs w:val="44"/>
        </w:rPr>
      </w:pPr>
      <w:r>
        <w:rPr>
          <w:rFonts w:ascii="Times New Roman" w:eastAsia="方正小标宋简体" w:hAnsi="Times New Roman" w:cs="Times New Roman"/>
          <w:kern w:val="0"/>
          <w:sz w:val="44"/>
          <w:szCs w:val="44"/>
        </w:rPr>
        <w:lastRenderedPageBreak/>
        <w:t>第三部分</w:t>
      </w:r>
      <w:r>
        <w:rPr>
          <w:rFonts w:ascii="Times New Roman" w:eastAsia="方正小标宋简体" w:hAnsi="Times New Roman" w:cs="Times New Roman"/>
          <w:kern w:val="0"/>
          <w:sz w:val="44"/>
          <w:szCs w:val="44"/>
        </w:rPr>
        <w:t xml:space="preserve"> 2024</w:t>
      </w:r>
      <w:r>
        <w:rPr>
          <w:rFonts w:ascii="Times New Roman" w:eastAsia="方正小标宋简体" w:hAnsi="Times New Roman" w:cs="Times New Roman"/>
          <w:kern w:val="0"/>
          <w:sz w:val="44"/>
          <w:szCs w:val="44"/>
        </w:rPr>
        <w:t>年度部门决算表</w:t>
      </w:r>
    </w:p>
    <w:p w14:paraId="2AF6BB56" w14:textId="77777777" w:rsidR="00461755" w:rsidRDefault="00461755">
      <w:pPr>
        <w:widowControl/>
        <w:jc w:val="left"/>
        <w:rPr>
          <w:rFonts w:ascii="Times New Roman" w:hAnsi="Times New Roman" w:cs="Times New Roman"/>
          <w:kern w:val="0"/>
          <w:szCs w:val="21"/>
        </w:rPr>
      </w:pPr>
    </w:p>
    <w:p w14:paraId="567D8FAF" w14:textId="77777777" w:rsidR="00461755" w:rsidRDefault="00B3769C">
      <w:pPr>
        <w:widowControl/>
        <w:jc w:val="left"/>
        <w:rPr>
          <w:rFonts w:ascii="Times New Roman" w:hAnsi="Times New Roman" w:cs="Times New Roman"/>
          <w:kern w:val="0"/>
          <w:szCs w:val="21"/>
        </w:rPr>
      </w:pPr>
      <w:r>
        <w:rPr>
          <w:rFonts w:ascii="Times New Roman" w:hAnsi="Times New Roman" w:cs="Times New Roman"/>
          <w:bCs/>
          <w:kern w:val="0"/>
          <w:szCs w:val="21"/>
        </w:rPr>
        <w:object w:dxaOrig="8395" w:dyaOrig="10177" w14:anchorId="5215FE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leetimg_1760079755816426_740029440" style="width:419.75pt;height:508.85pt" o:ole="">
            <v:imagedata r:id="rId19" o:title="oleetimg_1760512817454635_415667200"/>
          </v:shape>
          <o:OLEObject Type="Embed" ProgID="Excel.Sheet.12" ShapeID="_x0000_i1025" DrawAspect="Content" ObjectID="_1823177569" r:id="rId20"/>
        </w:object>
      </w:r>
    </w:p>
    <w:p w14:paraId="29FE0451" w14:textId="77777777" w:rsidR="00461755" w:rsidRDefault="00461755">
      <w:pPr>
        <w:widowControl/>
        <w:jc w:val="left"/>
        <w:rPr>
          <w:rFonts w:ascii="Times New Roman" w:hAnsi="Times New Roman" w:cs="Times New Roman"/>
          <w:kern w:val="0"/>
          <w:szCs w:val="21"/>
        </w:rPr>
      </w:pPr>
    </w:p>
    <w:p w14:paraId="10F865CE" w14:textId="77777777" w:rsidR="00461755" w:rsidRDefault="00461755">
      <w:pPr>
        <w:widowControl/>
        <w:jc w:val="left"/>
        <w:rPr>
          <w:rFonts w:ascii="Times New Roman" w:hAnsi="Times New Roman" w:cs="Times New Roman"/>
          <w:kern w:val="0"/>
          <w:szCs w:val="21"/>
        </w:rPr>
      </w:pPr>
    </w:p>
    <w:p w14:paraId="2466432A" w14:textId="77777777" w:rsidR="00461755" w:rsidRDefault="00461755">
      <w:pPr>
        <w:widowControl/>
        <w:jc w:val="left"/>
        <w:rPr>
          <w:rFonts w:ascii="Times New Roman" w:hAnsi="Times New Roman" w:cs="Times New Roman"/>
          <w:kern w:val="0"/>
          <w:szCs w:val="21"/>
        </w:rPr>
      </w:pPr>
    </w:p>
    <w:p w14:paraId="022B65FF" w14:textId="379C9F78" w:rsidR="008215A0" w:rsidRDefault="008215A0">
      <w:pPr>
        <w:widowControl/>
        <w:jc w:val="left"/>
        <w:rPr>
          <w:rFonts w:ascii="Times New Roman" w:hAnsi="Times New Roman" w:cs="Times New Roman"/>
          <w:kern w:val="0"/>
          <w:szCs w:val="21"/>
        </w:rPr>
      </w:pPr>
      <w:r>
        <w:rPr>
          <w:rFonts w:ascii="Times New Roman" w:hAnsi="Times New Roman" w:cs="Times New Roman"/>
          <w:kern w:val="0"/>
          <w:szCs w:val="21"/>
        </w:rPr>
        <w:br w:type="page"/>
      </w:r>
    </w:p>
    <w:p w14:paraId="73FA5B20" w14:textId="77777777" w:rsidR="008215A0" w:rsidRDefault="008215A0" w:rsidP="008215A0">
      <w:pPr>
        <w:widowControl/>
        <w:jc w:val="center"/>
        <w:rPr>
          <w:rFonts w:ascii="Times New Roman" w:hAnsi="Times New Roman" w:cs="Times New Roman"/>
          <w:kern w:val="0"/>
          <w:szCs w:val="21"/>
        </w:rPr>
      </w:pPr>
      <w:r>
        <w:rPr>
          <w:rFonts w:ascii="黑体" w:eastAsia="黑体" w:hAnsi="黑体" w:hint="eastAsia"/>
          <w:sz w:val="32"/>
          <w:szCs w:val="32"/>
        </w:rPr>
        <w:lastRenderedPageBreak/>
        <w:t>收入支出决算总表</w:t>
      </w: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636"/>
        <w:gridCol w:w="1059"/>
        <w:gridCol w:w="3367"/>
        <w:gridCol w:w="636"/>
        <w:gridCol w:w="1056"/>
      </w:tblGrid>
      <w:tr w:rsidR="008215A0" w:rsidRPr="00CD00FB" w14:paraId="0500FC26" w14:textId="77777777" w:rsidTr="00B27A98">
        <w:trPr>
          <w:trHeight w:val="300"/>
        </w:trPr>
        <w:tc>
          <w:tcPr>
            <w:tcW w:w="3958" w:type="dxa"/>
            <w:gridSpan w:val="3"/>
            <w:shd w:val="clear" w:color="000000" w:fill="F1F1F1"/>
            <w:noWrap/>
            <w:vAlign w:val="center"/>
            <w:hideMark/>
          </w:tcPr>
          <w:p w14:paraId="6686C9D1"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收入</w:t>
            </w:r>
          </w:p>
        </w:tc>
        <w:tc>
          <w:tcPr>
            <w:tcW w:w="5059" w:type="dxa"/>
            <w:gridSpan w:val="3"/>
            <w:shd w:val="clear" w:color="000000" w:fill="F1F1F1"/>
            <w:noWrap/>
            <w:vAlign w:val="center"/>
            <w:hideMark/>
          </w:tcPr>
          <w:p w14:paraId="5BF9460B"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支出</w:t>
            </w:r>
          </w:p>
        </w:tc>
      </w:tr>
      <w:tr w:rsidR="008215A0" w:rsidRPr="00CD00FB" w14:paraId="3E1ABE46" w14:textId="77777777" w:rsidTr="00B27A98">
        <w:trPr>
          <w:trHeight w:val="300"/>
        </w:trPr>
        <w:tc>
          <w:tcPr>
            <w:tcW w:w="2263" w:type="dxa"/>
            <w:shd w:val="clear" w:color="000000" w:fill="F1F1F1"/>
            <w:noWrap/>
            <w:vAlign w:val="center"/>
            <w:hideMark/>
          </w:tcPr>
          <w:p w14:paraId="11D603B7"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项目</w:t>
            </w:r>
          </w:p>
        </w:tc>
        <w:tc>
          <w:tcPr>
            <w:tcW w:w="636" w:type="dxa"/>
            <w:shd w:val="clear" w:color="000000" w:fill="F1F1F1"/>
            <w:noWrap/>
            <w:vAlign w:val="center"/>
            <w:hideMark/>
          </w:tcPr>
          <w:p w14:paraId="5A594903"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行次</w:t>
            </w:r>
          </w:p>
        </w:tc>
        <w:tc>
          <w:tcPr>
            <w:tcW w:w="1058" w:type="dxa"/>
            <w:shd w:val="clear" w:color="000000" w:fill="F1F1F1"/>
            <w:noWrap/>
            <w:vAlign w:val="center"/>
            <w:hideMark/>
          </w:tcPr>
          <w:p w14:paraId="2E52E782"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决算数</w:t>
            </w:r>
          </w:p>
        </w:tc>
        <w:tc>
          <w:tcPr>
            <w:tcW w:w="3367" w:type="dxa"/>
            <w:shd w:val="clear" w:color="000000" w:fill="F1F1F1"/>
            <w:noWrap/>
            <w:vAlign w:val="center"/>
            <w:hideMark/>
          </w:tcPr>
          <w:p w14:paraId="3D8843E3"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项目</w:t>
            </w:r>
          </w:p>
        </w:tc>
        <w:tc>
          <w:tcPr>
            <w:tcW w:w="636" w:type="dxa"/>
            <w:shd w:val="clear" w:color="000000" w:fill="F1F1F1"/>
            <w:noWrap/>
            <w:vAlign w:val="center"/>
            <w:hideMark/>
          </w:tcPr>
          <w:p w14:paraId="2FA13741"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行次</w:t>
            </w:r>
          </w:p>
        </w:tc>
        <w:tc>
          <w:tcPr>
            <w:tcW w:w="1056" w:type="dxa"/>
            <w:shd w:val="clear" w:color="000000" w:fill="F1F1F1"/>
            <w:noWrap/>
            <w:vAlign w:val="center"/>
            <w:hideMark/>
          </w:tcPr>
          <w:p w14:paraId="56D17FA5"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决算数</w:t>
            </w:r>
          </w:p>
        </w:tc>
      </w:tr>
      <w:tr w:rsidR="008215A0" w:rsidRPr="00CD00FB" w14:paraId="6EA8701F" w14:textId="77777777" w:rsidTr="00B27A98">
        <w:trPr>
          <w:trHeight w:val="300"/>
        </w:trPr>
        <w:tc>
          <w:tcPr>
            <w:tcW w:w="2263" w:type="dxa"/>
            <w:shd w:val="clear" w:color="000000" w:fill="F1F1F1"/>
            <w:noWrap/>
            <w:vAlign w:val="center"/>
            <w:hideMark/>
          </w:tcPr>
          <w:p w14:paraId="23025B66"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栏次</w:t>
            </w:r>
          </w:p>
        </w:tc>
        <w:tc>
          <w:tcPr>
            <w:tcW w:w="636" w:type="dxa"/>
            <w:shd w:val="clear" w:color="000000" w:fill="F1F1F1"/>
            <w:noWrap/>
            <w:vAlign w:val="center"/>
            <w:hideMark/>
          </w:tcPr>
          <w:p w14:paraId="2C7914F9"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 xml:space="preserve">　</w:t>
            </w:r>
          </w:p>
        </w:tc>
        <w:tc>
          <w:tcPr>
            <w:tcW w:w="1058" w:type="dxa"/>
            <w:shd w:val="clear" w:color="000000" w:fill="F1F1F1"/>
            <w:noWrap/>
            <w:vAlign w:val="center"/>
            <w:hideMark/>
          </w:tcPr>
          <w:p w14:paraId="3C2661C9"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1</w:t>
            </w:r>
          </w:p>
        </w:tc>
        <w:tc>
          <w:tcPr>
            <w:tcW w:w="3367" w:type="dxa"/>
            <w:shd w:val="clear" w:color="000000" w:fill="F1F1F1"/>
            <w:noWrap/>
            <w:vAlign w:val="center"/>
            <w:hideMark/>
          </w:tcPr>
          <w:p w14:paraId="278220E1"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栏次</w:t>
            </w:r>
          </w:p>
        </w:tc>
        <w:tc>
          <w:tcPr>
            <w:tcW w:w="636" w:type="dxa"/>
            <w:shd w:val="clear" w:color="000000" w:fill="F1F1F1"/>
            <w:noWrap/>
            <w:vAlign w:val="center"/>
            <w:hideMark/>
          </w:tcPr>
          <w:p w14:paraId="46342ECE"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 xml:space="preserve">　</w:t>
            </w:r>
          </w:p>
        </w:tc>
        <w:tc>
          <w:tcPr>
            <w:tcW w:w="1056" w:type="dxa"/>
            <w:shd w:val="clear" w:color="000000" w:fill="F1F1F1"/>
            <w:noWrap/>
            <w:vAlign w:val="center"/>
            <w:hideMark/>
          </w:tcPr>
          <w:p w14:paraId="5AF47139"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2</w:t>
            </w:r>
          </w:p>
        </w:tc>
      </w:tr>
      <w:tr w:rsidR="008215A0" w:rsidRPr="00CD00FB" w14:paraId="3F4E8926" w14:textId="77777777" w:rsidTr="00B27A98">
        <w:trPr>
          <w:trHeight w:val="300"/>
        </w:trPr>
        <w:tc>
          <w:tcPr>
            <w:tcW w:w="2263" w:type="dxa"/>
            <w:shd w:val="clear" w:color="000000" w:fill="F1F1F1"/>
            <w:noWrap/>
            <w:vAlign w:val="center"/>
            <w:hideMark/>
          </w:tcPr>
          <w:p w14:paraId="4EE23BFD"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一、一般公共预算财政拨款收入</w:t>
            </w:r>
          </w:p>
        </w:tc>
        <w:tc>
          <w:tcPr>
            <w:tcW w:w="636" w:type="dxa"/>
            <w:shd w:val="clear" w:color="000000" w:fill="F1F1F1"/>
            <w:noWrap/>
            <w:vAlign w:val="center"/>
            <w:hideMark/>
          </w:tcPr>
          <w:p w14:paraId="582433F2"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1</w:t>
            </w:r>
          </w:p>
        </w:tc>
        <w:tc>
          <w:tcPr>
            <w:tcW w:w="1058" w:type="dxa"/>
            <w:shd w:val="clear" w:color="auto" w:fill="auto"/>
            <w:noWrap/>
            <w:vAlign w:val="center"/>
            <w:hideMark/>
          </w:tcPr>
          <w:p w14:paraId="7FE9BF59"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3,243.30</w:t>
            </w:r>
          </w:p>
        </w:tc>
        <w:tc>
          <w:tcPr>
            <w:tcW w:w="3367" w:type="dxa"/>
            <w:shd w:val="clear" w:color="000000" w:fill="F1F1F1"/>
            <w:noWrap/>
            <w:vAlign w:val="center"/>
            <w:hideMark/>
          </w:tcPr>
          <w:p w14:paraId="455EC3E0"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一、一般公共服务支出</w:t>
            </w:r>
          </w:p>
        </w:tc>
        <w:tc>
          <w:tcPr>
            <w:tcW w:w="636" w:type="dxa"/>
            <w:shd w:val="clear" w:color="000000" w:fill="F1F1F1"/>
            <w:noWrap/>
            <w:vAlign w:val="center"/>
            <w:hideMark/>
          </w:tcPr>
          <w:p w14:paraId="5F8D3CAB"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31</w:t>
            </w:r>
          </w:p>
        </w:tc>
        <w:tc>
          <w:tcPr>
            <w:tcW w:w="1056" w:type="dxa"/>
            <w:shd w:val="clear" w:color="auto" w:fill="auto"/>
            <w:noWrap/>
            <w:vAlign w:val="center"/>
            <w:hideMark/>
          </w:tcPr>
          <w:p w14:paraId="485D5339"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1,345.20</w:t>
            </w:r>
          </w:p>
        </w:tc>
      </w:tr>
      <w:tr w:rsidR="008215A0" w:rsidRPr="00CD00FB" w14:paraId="1881F62B" w14:textId="77777777" w:rsidTr="00B27A98">
        <w:trPr>
          <w:trHeight w:val="300"/>
        </w:trPr>
        <w:tc>
          <w:tcPr>
            <w:tcW w:w="2263" w:type="dxa"/>
            <w:shd w:val="clear" w:color="000000" w:fill="F1F1F1"/>
            <w:noWrap/>
            <w:vAlign w:val="center"/>
            <w:hideMark/>
          </w:tcPr>
          <w:p w14:paraId="42F04FAB"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二、政府性基金预算财政拨款收入</w:t>
            </w:r>
          </w:p>
        </w:tc>
        <w:tc>
          <w:tcPr>
            <w:tcW w:w="636" w:type="dxa"/>
            <w:shd w:val="clear" w:color="000000" w:fill="F1F1F1"/>
            <w:noWrap/>
            <w:vAlign w:val="center"/>
            <w:hideMark/>
          </w:tcPr>
          <w:p w14:paraId="182D3D4C"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2</w:t>
            </w:r>
          </w:p>
        </w:tc>
        <w:tc>
          <w:tcPr>
            <w:tcW w:w="1058" w:type="dxa"/>
            <w:shd w:val="clear" w:color="auto" w:fill="auto"/>
            <w:noWrap/>
            <w:vAlign w:val="center"/>
            <w:hideMark/>
          </w:tcPr>
          <w:p w14:paraId="1A954ED9"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3367" w:type="dxa"/>
            <w:shd w:val="clear" w:color="000000" w:fill="F1F1F1"/>
            <w:noWrap/>
            <w:vAlign w:val="center"/>
            <w:hideMark/>
          </w:tcPr>
          <w:p w14:paraId="6CFEA42F"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二、外交支出</w:t>
            </w:r>
          </w:p>
        </w:tc>
        <w:tc>
          <w:tcPr>
            <w:tcW w:w="636" w:type="dxa"/>
            <w:shd w:val="clear" w:color="000000" w:fill="F1F1F1"/>
            <w:noWrap/>
            <w:vAlign w:val="center"/>
            <w:hideMark/>
          </w:tcPr>
          <w:p w14:paraId="7FED989B"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32</w:t>
            </w:r>
          </w:p>
        </w:tc>
        <w:tc>
          <w:tcPr>
            <w:tcW w:w="1056" w:type="dxa"/>
            <w:shd w:val="clear" w:color="auto" w:fill="auto"/>
            <w:noWrap/>
            <w:vAlign w:val="center"/>
            <w:hideMark/>
          </w:tcPr>
          <w:p w14:paraId="59046420"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4AAA0E71" w14:textId="77777777" w:rsidTr="00B27A98">
        <w:trPr>
          <w:trHeight w:val="300"/>
        </w:trPr>
        <w:tc>
          <w:tcPr>
            <w:tcW w:w="2263" w:type="dxa"/>
            <w:shd w:val="clear" w:color="000000" w:fill="F1F1F1"/>
            <w:noWrap/>
            <w:vAlign w:val="center"/>
            <w:hideMark/>
          </w:tcPr>
          <w:p w14:paraId="4CCDA198"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三、国有资本经营预算财政拨款收入</w:t>
            </w:r>
          </w:p>
        </w:tc>
        <w:tc>
          <w:tcPr>
            <w:tcW w:w="636" w:type="dxa"/>
            <w:shd w:val="clear" w:color="000000" w:fill="F1F1F1"/>
            <w:noWrap/>
            <w:vAlign w:val="center"/>
            <w:hideMark/>
          </w:tcPr>
          <w:p w14:paraId="07BD131F"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3</w:t>
            </w:r>
          </w:p>
        </w:tc>
        <w:tc>
          <w:tcPr>
            <w:tcW w:w="1058" w:type="dxa"/>
            <w:shd w:val="clear" w:color="auto" w:fill="auto"/>
            <w:noWrap/>
            <w:vAlign w:val="center"/>
            <w:hideMark/>
          </w:tcPr>
          <w:p w14:paraId="7B934A00"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12.12</w:t>
            </w:r>
          </w:p>
        </w:tc>
        <w:tc>
          <w:tcPr>
            <w:tcW w:w="3367" w:type="dxa"/>
            <w:shd w:val="clear" w:color="000000" w:fill="F1F1F1"/>
            <w:noWrap/>
            <w:vAlign w:val="center"/>
            <w:hideMark/>
          </w:tcPr>
          <w:p w14:paraId="5C8AD59D"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三、国防支出</w:t>
            </w:r>
          </w:p>
        </w:tc>
        <w:tc>
          <w:tcPr>
            <w:tcW w:w="636" w:type="dxa"/>
            <w:shd w:val="clear" w:color="000000" w:fill="F1F1F1"/>
            <w:noWrap/>
            <w:vAlign w:val="center"/>
            <w:hideMark/>
          </w:tcPr>
          <w:p w14:paraId="5531CC5D"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33</w:t>
            </w:r>
          </w:p>
        </w:tc>
        <w:tc>
          <w:tcPr>
            <w:tcW w:w="1056" w:type="dxa"/>
            <w:shd w:val="clear" w:color="auto" w:fill="auto"/>
            <w:noWrap/>
            <w:vAlign w:val="center"/>
            <w:hideMark/>
          </w:tcPr>
          <w:p w14:paraId="7279EDF0"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78052BB9" w14:textId="77777777" w:rsidTr="00B27A98">
        <w:trPr>
          <w:trHeight w:val="300"/>
        </w:trPr>
        <w:tc>
          <w:tcPr>
            <w:tcW w:w="2263" w:type="dxa"/>
            <w:shd w:val="clear" w:color="000000" w:fill="F1F1F1"/>
            <w:noWrap/>
            <w:vAlign w:val="center"/>
            <w:hideMark/>
          </w:tcPr>
          <w:p w14:paraId="78F8E16F"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四、上级补助收入</w:t>
            </w:r>
          </w:p>
        </w:tc>
        <w:tc>
          <w:tcPr>
            <w:tcW w:w="636" w:type="dxa"/>
            <w:shd w:val="clear" w:color="000000" w:fill="F1F1F1"/>
            <w:noWrap/>
            <w:vAlign w:val="center"/>
            <w:hideMark/>
          </w:tcPr>
          <w:p w14:paraId="7EED5E19"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4</w:t>
            </w:r>
          </w:p>
        </w:tc>
        <w:tc>
          <w:tcPr>
            <w:tcW w:w="1058" w:type="dxa"/>
            <w:shd w:val="clear" w:color="auto" w:fill="auto"/>
            <w:noWrap/>
            <w:vAlign w:val="center"/>
            <w:hideMark/>
          </w:tcPr>
          <w:p w14:paraId="733FF22B"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3367" w:type="dxa"/>
            <w:shd w:val="clear" w:color="000000" w:fill="F1F1F1"/>
            <w:noWrap/>
            <w:vAlign w:val="center"/>
            <w:hideMark/>
          </w:tcPr>
          <w:p w14:paraId="773A5D05"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四、公共安全支出</w:t>
            </w:r>
          </w:p>
        </w:tc>
        <w:tc>
          <w:tcPr>
            <w:tcW w:w="636" w:type="dxa"/>
            <w:shd w:val="clear" w:color="000000" w:fill="F1F1F1"/>
            <w:noWrap/>
            <w:vAlign w:val="center"/>
            <w:hideMark/>
          </w:tcPr>
          <w:p w14:paraId="150F7D55"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34</w:t>
            </w:r>
          </w:p>
        </w:tc>
        <w:tc>
          <w:tcPr>
            <w:tcW w:w="1056" w:type="dxa"/>
            <w:shd w:val="clear" w:color="auto" w:fill="auto"/>
            <w:noWrap/>
            <w:vAlign w:val="center"/>
            <w:hideMark/>
          </w:tcPr>
          <w:p w14:paraId="0E47EABE"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01799A08" w14:textId="77777777" w:rsidTr="00B27A98">
        <w:trPr>
          <w:trHeight w:val="300"/>
        </w:trPr>
        <w:tc>
          <w:tcPr>
            <w:tcW w:w="2263" w:type="dxa"/>
            <w:shd w:val="clear" w:color="000000" w:fill="F1F1F1"/>
            <w:noWrap/>
            <w:vAlign w:val="center"/>
            <w:hideMark/>
          </w:tcPr>
          <w:p w14:paraId="796B5AF4"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五、事业收入</w:t>
            </w:r>
          </w:p>
        </w:tc>
        <w:tc>
          <w:tcPr>
            <w:tcW w:w="636" w:type="dxa"/>
            <w:shd w:val="clear" w:color="000000" w:fill="F1F1F1"/>
            <w:noWrap/>
            <w:vAlign w:val="center"/>
            <w:hideMark/>
          </w:tcPr>
          <w:p w14:paraId="268D417F"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5</w:t>
            </w:r>
          </w:p>
        </w:tc>
        <w:tc>
          <w:tcPr>
            <w:tcW w:w="1058" w:type="dxa"/>
            <w:shd w:val="clear" w:color="auto" w:fill="auto"/>
            <w:noWrap/>
            <w:vAlign w:val="center"/>
            <w:hideMark/>
          </w:tcPr>
          <w:p w14:paraId="14166C8C"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3367" w:type="dxa"/>
            <w:shd w:val="clear" w:color="000000" w:fill="F1F1F1"/>
            <w:noWrap/>
            <w:vAlign w:val="center"/>
            <w:hideMark/>
          </w:tcPr>
          <w:p w14:paraId="3B4EEE4F"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五、教育支出</w:t>
            </w:r>
          </w:p>
        </w:tc>
        <w:tc>
          <w:tcPr>
            <w:tcW w:w="636" w:type="dxa"/>
            <w:shd w:val="clear" w:color="000000" w:fill="F1F1F1"/>
            <w:noWrap/>
            <w:vAlign w:val="center"/>
            <w:hideMark/>
          </w:tcPr>
          <w:p w14:paraId="5E19100F"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35</w:t>
            </w:r>
          </w:p>
        </w:tc>
        <w:tc>
          <w:tcPr>
            <w:tcW w:w="1056" w:type="dxa"/>
            <w:shd w:val="clear" w:color="auto" w:fill="auto"/>
            <w:noWrap/>
            <w:vAlign w:val="center"/>
            <w:hideMark/>
          </w:tcPr>
          <w:p w14:paraId="0289F49B"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04E8DBE9" w14:textId="77777777" w:rsidTr="00B27A98">
        <w:trPr>
          <w:trHeight w:val="300"/>
        </w:trPr>
        <w:tc>
          <w:tcPr>
            <w:tcW w:w="2263" w:type="dxa"/>
            <w:shd w:val="clear" w:color="000000" w:fill="F1F1F1"/>
            <w:noWrap/>
            <w:vAlign w:val="center"/>
            <w:hideMark/>
          </w:tcPr>
          <w:p w14:paraId="3116CF78"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六、经营收入</w:t>
            </w:r>
          </w:p>
        </w:tc>
        <w:tc>
          <w:tcPr>
            <w:tcW w:w="636" w:type="dxa"/>
            <w:shd w:val="clear" w:color="000000" w:fill="F1F1F1"/>
            <w:noWrap/>
            <w:vAlign w:val="center"/>
            <w:hideMark/>
          </w:tcPr>
          <w:p w14:paraId="5321FFA9"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6</w:t>
            </w:r>
          </w:p>
        </w:tc>
        <w:tc>
          <w:tcPr>
            <w:tcW w:w="1058" w:type="dxa"/>
            <w:shd w:val="clear" w:color="auto" w:fill="auto"/>
            <w:noWrap/>
            <w:vAlign w:val="center"/>
            <w:hideMark/>
          </w:tcPr>
          <w:p w14:paraId="5A59D19E"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3367" w:type="dxa"/>
            <w:shd w:val="clear" w:color="000000" w:fill="F1F1F1"/>
            <w:noWrap/>
            <w:vAlign w:val="center"/>
            <w:hideMark/>
          </w:tcPr>
          <w:p w14:paraId="42CB8D0A"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六、科学技术支出</w:t>
            </w:r>
          </w:p>
        </w:tc>
        <w:tc>
          <w:tcPr>
            <w:tcW w:w="636" w:type="dxa"/>
            <w:shd w:val="clear" w:color="000000" w:fill="F1F1F1"/>
            <w:noWrap/>
            <w:vAlign w:val="center"/>
            <w:hideMark/>
          </w:tcPr>
          <w:p w14:paraId="15EE8F07"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36</w:t>
            </w:r>
          </w:p>
        </w:tc>
        <w:tc>
          <w:tcPr>
            <w:tcW w:w="1056" w:type="dxa"/>
            <w:shd w:val="clear" w:color="auto" w:fill="auto"/>
            <w:noWrap/>
            <w:vAlign w:val="center"/>
            <w:hideMark/>
          </w:tcPr>
          <w:p w14:paraId="7BF1C393"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385E62C8" w14:textId="77777777" w:rsidTr="00B27A98">
        <w:trPr>
          <w:trHeight w:val="300"/>
        </w:trPr>
        <w:tc>
          <w:tcPr>
            <w:tcW w:w="2263" w:type="dxa"/>
            <w:shd w:val="clear" w:color="000000" w:fill="F1F1F1"/>
            <w:noWrap/>
            <w:vAlign w:val="center"/>
            <w:hideMark/>
          </w:tcPr>
          <w:p w14:paraId="744936B5"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七、附属单位上缴收入</w:t>
            </w:r>
          </w:p>
        </w:tc>
        <w:tc>
          <w:tcPr>
            <w:tcW w:w="636" w:type="dxa"/>
            <w:shd w:val="clear" w:color="000000" w:fill="F1F1F1"/>
            <w:noWrap/>
            <w:vAlign w:val="center"/>
            <w:hideMark/>
          </w:tcPr>
          <w:p w14:paraId="37C4BF61"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7</w:t>
            </w:r>
          </w:p>
        </w:tc>
        <w:tc>
          <w:tcPr>
            <w:tcW w:w="1058" w:type="dxa"/>
            <w:shd w:val="clear" w:color="auto" w:fill="auto"/>
            <w:noWrap/>
            <w:vAlign w:val="center"/>
            <w:hideMark/>
          </w:tcPr>
          <w:p w14:paraId="11EECF5F"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3367" w:type="dxa"/>
            <w:shd w:val="clear" w:color="000000" w:fill="F1F1F1"/>
            <w:noWrap/>
            <w:vAlign w:val="center"/>
            <w:hideMark/>
          </w:tcPr>
          <w:p w14:paraId="11962EE7"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七、文化旅游体育与传媒支出</w:t>
            </w:r>
          </w:p>
        </w:tc>
        <w:tc>
          <w:tcPr>
            <w:tcW w:w="636" w:type="dxa"/>
            <w:shd w:val="clear" w:color="000000" w:fill="F1F1F1"/>
            <w:noWrap/>
            <w:vAlign w:val="center"/>
            <w:hideMark/>
          </w:tcPr>
          <w:p w14:paraId="49922105"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37</w:t>
            </w:r>
          </w:p>
        </w:tc>
        <w:tc>
          <w:tcPr>
            <w:tcW w:w="1056" w:type="dxa"/>
            <w:shd w:val="clear" w:color="auto" w:fill="auto"/>
            <w:noWrap/>
            <w:vAlign w:val="center"/>
            <w:hideMark/>
          </w:tcPr>
          <w:p w14:paraId="06099323"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108A1396" w14:textId="77777777" w:rsidTr="00B27A98">
        <w:trPr>
          <w:trHeight w:val="300"/>
        </w:trPr>
        <w:tc>
          <w:tcPr>
            <w:tcW w:w="2263" w:type="dxa"/>
            <w:shd w:val="clear" w:color="000000" w:fill="F1F1F1"/>
            <w:noWrap/>
            <w:vAlign w:val="center"/>
            <w:hideMark/>
          </w:tcPr>
          <w:p w14:paraId="18006DEC"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八、其他收入</w:t>
            </w:r>
          </w:p>
        </w:tc>
        <w:tc>
          <w:tcPr>
            <w:tcW w:w="636" w:type="dxa"/>
            <w:shd w:val="clear" w:color="000000" w:fill="F1F1F1"/>
            <w:noWrap/>
            <w:vAlign w:val="center"/>
            <w:hideMark/>
          </w:tcPr>
          <w:p w14:paraId="6385B359"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8</w:t>
            </w:r>
          </w:p>
        </w:tc>
        <w:tc>
          <w:tcPr>
            <w:tcW w:w="1058" w:type="dxa"/>
            <w:shd w:val="clear" w:color="auto" w:fill="auto"/>
            <w:noWrap/>
            <w:vAlign w:val="center"/>
            <w:hideMark/>
          </w:tcPr>
          <w:p w14:paraId="1B3E5B84"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116.13</w:t>
            </w:r>
          </w:p>
        </w:tc>
        <w:tc>
          <w:tcPr>
            <w:tcW w:w="3367" w:type="dxa"/>
            <w:shd w:val="clear" w:color="000000" w:fill="F1F1F1"/>
            <w:noWrap/>
            <w:vAlign w:val="center"/>
            <w:hideMark/>
          </w:tcPr>
          <w:p w14:paraId="424985EF"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八、社会保障和就业支出</w:t>
            </w:r>
          </w:p>
        </w:tc>
        <w:tc>
          <w:tcPr>
            <w:tcW w:w="636" w:type="dxa"/>
            <w:shd w:val="clear" w:color="000000" w:fill="F1F1F1"/>
            <w:noWrap/>
            <w:vAlign w:val="center"/>
            <w:hideMark/>
          </w:tcPr>
          <w:p w14:paraId="19A3F765"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38</w:t>
            </w:r>
          </w:p>
        </w:tc>
        <w:tc>
          <w:tcPr>
            <w:tcW w:w="1056" w:type="dxa"/>
            <w:shd w:val="clear" w:color="auto" w:fill="auto"/>
            <w:noWrap/>
            <w:vAlign w:val="center"/>
            <w:hideMark/>
          </w:tcPr>
          <w:p w14:paraId="4256A1CD"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261.32</w:t>
            </w:r>
          </w:p>
        </w:tc>
      </w:tr>
      <w:tr w:rsidR="008215A0" w:rsidRPr="00CD00FB" w14:paraId="7E7A9F95" w14:textId="77777777" w:rsidTr="00B27A98">
        <w:trPr>
          <w:trHeight w:val="300"/>
        </w:trPr>
        <w:tc>
          <w:tcPr>
            <w:tcW w:w="2263" w:type="dxa"/>
            <w:shd w:val="clear" w:color="000000" w:fill="F1F1F1"/>
            <w:noWrap/>
            <w:vAlign w:val="center"/>
            <w:hideMark/>
          </w:tcPr>
          <w:p w14:paraId="1C1E1A5E"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 xml:space="preserve">　</w:t>
            </w:r>
          </w:p>
        </w:tc>
        <w:tc>
          <w:tcPr>
            <w:tcW w:w="636" w:type="dxa"/>
            <w:shd w:val="clear" w:color="000000" w:fill="F1F1F1"/>
            <w:noWrap/>
            <w:vAlign w:val="center"/>
            <w:hideMark/>
          </w:tcPr>
          <w:p w14:paraId="49E63674"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9</w:t>
            </w:r>
          </w:p>
        </w:tc>
        <w:tc>
          <w:tcPr>
            <w:tcW w:w="1058" w:type="dxa"/>
            <w:shd w:val="clear" w:color="auto" w:fill="auto"/>
            <w:noWrap/>
            <w:vAlign w:val="center"/>
            <w:hideMark/>
          </w:tcPr>
          <w:p w14:paraId="1FC3E3B9"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3367" w:type="dxa"/>
            <w:shd w:val="clear" w:color="000000" w:fill="F1F1F1"/>
            <w:noWrap/>
            <w:vAlign w:val="center"/>
            <w:hideMark/>
          </w:tcPr>
          <w:p w14:paraId="3903F30B"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九、卫生健康支出</w:t>
            </w:r>
          </w:p>
        </w:tc>
        <w:tc>
          <w:tcPr>
            <w:tcW w:w="636" w:type="dxa"/>
            <w:shd w:val="clear" w:color="000000" w:fill="F1F1F1"/>
            <w:noWrap/>
            <w:vAlign w:val="center"/>
            <w:hideMark/>
          </w:tcPr>
          <w:p w14:paraId="678FC7BB"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39</w:t>
            </w:r>
          </w:p>
        </w:tc>
        <w:tc>
          <w:tcPr>
            <w:tcW w:w="1056" w:type="dxa"/>
            <w:shd w:val="clear" w:color="auto" w:fill="auto"/>
            <w:noWrap/>
            <w:vAlign w:val="center"/>
            <w:hideMark/>
          </w:tcPr>
          <w:p w14:paraId="11EE4FDE"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53.74</w:t>
            </w:r>
          </w:p>
        </w:tc>
      </w:tr>
      <w:tr w:rsidR="008215A0" w:rsidRPr="00CD00FB" w14:paraId="1D6110F3" w14:textId="77777777" w:rsidTr="00B27A98">
        <w:trPr>
          <w:trHeight w:val="300"/>
        </w:trPr>
        <w:tc>
          <w:tcPr>
            <w:tcW w:w="2263" w:type="dxa"/>
            <w:shd w:val="clear" w:color="000000" w:fill="F1F1F1"/>
            <w:noWrap/>
            <w:vAlign w:val="center"/>
            <w:hideMark/>
          </w:tcPr>
          <w:p w14:paraId="41491037"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 xml:space="preserve">　</w:t>
            </w:r>
          </w:p>
        </w:tc>
        <w:tc>
          <w:tcPr>
            <w:tcW w:w="636" w:type="dxa"/>
            <w:shd w:val="clear" w:color="000000" w:fill="F1F1F1"/>
            <w:noWrap/>
            <w:vAlign w:val="center"/>
            <w:hideMark/>
          </w:tcPr>
          <w:p w14:paraId="2AFFD5D7"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10</w:t>
            </w:r>
          </w:p>
        </w:tc>
        <w:tc>
          <w:tcPr>
            <w:tcW w:w="1058" w:type="dxa"/>
            <w:shd w:val="clear" w:color="auto" w:fill="auto"/>
            <w:noWrap/>
            <w:vAlign w:val="center"/>
            <w:hideMark/>
          </w:tcPr>
          <w:p w14:paraId="33BB5400"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3367" w:type="dxa"/>
            <w:shd w:val="clear" w:color="000000" w:fill="F1F1F1"/>
            <w:noWrap/>
            <w:vAlign w:val="center"/>
            <w:hideMark/>
          </w:tcPr>
          <w:p w14:paraId="34925500"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十、节能环保支出</w:t>
            </w:r>
          </w:p>
        </w:tc>
        <w:tc>
          <w:tcPr>
            <w:tcW w:w="636" w:type="dxa"/>
            <w:shd w:val="clear" w:color="000000" w:fill="F1F1F1"/>
            <w:noWrap/>
            <w:vAlign w:val="center"/>
            <w:hideMark/>
          </w:tcPr>
          <w:p w14:paraId="6CD3A209"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40</w:t>
            </w:r>
          </w:p>
        </w:tc>
        <w:tc>
          <w:tcPr>
            <w:tcW w:w="1056" w:type="dxa"/>
            <w:shd w:val="clear" w:color="auto" w:fill="auto"/>
            <w:noWrap/>
            <w:vAlign w:val="center"/>
            <w:hideMark/>
          </w:tcPr>
          <w:p w14:paraId="0DFC2696"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7DCB8337" w14:textId="77777777" w:rsidTr="00B27A98">
        <w:trPr>
          <w:trHeight w:val="300"/>
        </w:trPr>
        <w:tc>
          <w:tcPr>
            <w:tcW w:w="2263" w:type="dxa"/>
            <w:shd w:val="clear" w:color="000000" w:fill="F1F1F1"/>
            <w:noWrap/>
            <w:vAlign w:val="center"/>
            <w:hideMark/>
          </w:tcPr>
          <w:p w14:paraId="2FD4068E"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 xml:space="preserve">　</w:t>
            </w:r>
          </w:p>
        </w:tc>
        <w:tc>
          <w:tcPr>
            <w:tcW w:w="636" w:type="dxa"/>
            <w:shd w:val="clear" w:color="000000" w:fill="F1F1F1"/>
            <w:noWrap/>
            <w:vAlign w:val="center"/>
            <w:hideMark/>
          </w:tcPr>
          <w:p w14:paraId="740C4BFA"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11</w:t>
            </w:r>
          </w:p>
        </w:tc>
        <w:tc>
          <w:tcPr>
            <w:tcW w:w="1058" w:type="dxa"/>
            <w:shd w:val="clear" w:color="auto" w:fill="auto"/>
            <w:noWrap/>
            <w:vAlign w:val="center"/>
            <w:hideMark/>
          </w:tcPr>
          <w:p w14:paraId="16CBA039"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3367" w:type="dxa"/>
            <w:shd w:val="clear" w:color="000000" w:fill="F1F1F1"/>
            <w:noWrap/>
            <w:vAlign w:val="center"/>
            <w:hideMark/>
          </w:tcPr>
          <w:p w14:paraId="1CCE5B7D"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十一、城乡社区支出</w:t>
            </w:r>
          </w:p>
        </w:tc>
        <w:tc>
          <w:tcPr>
            <w:tcW w:w="636" w:type="dxa"/>
            <w:shd w:val="clear" w:color="000000" w:fill="F1F1F1"/>
            <w:noWrap/>
            <w:vAlign w:val="center"/>
            <w:hideMark/>
          </w:tcPr>
          <w:p w14:paraId="33988767"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41</w:t>
            </w:r>
          </w:p>
        </w:tc>
        <w:tc>
          <w:tcPr>
            <w:tcW w:w="1056" w:type="dxa"/>
            <w:shd w:val="clear" w:color="auto" w:fill="auto"/>
            <w:noWrap/>
            <w:vAlign w:val="center"/>
            <w:hideMark/>
          </w:tcPr>
          <w:p w14:paraId="7D8F4EB5"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5AC447CC" w14:textId="77777777" w:rsidTr="00B27A98">
        <w:trPr>
          <w:trHeight w:val="300"/>
        </w:trPr>
        <w:tc>
          <w:tcPr>
            <w:tcW w:w="2263" w:type="dxa"/>
            <w:shd w:val="clear" w:color="000000" w:fill="F1F1F1"/>
            <w:noWrap/>
            <w:vAlign w:val="center"/>
            <w:hideMark/>
          </w:tcPr>
          <w:p w14:paraId="0375D2CA"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 xml:space="preserve">　</w:t>
            </w:r>
          </w:p>
        </w:tc>
        <w:tc>
          <w:tcPr>
            <w:tcW w:w="636" w:type="dxa"/>
            <w:shd w:val="clear" w:color="000000" w:fill="F1F1F1"/>
            <w:noWrap/>
            <w:vAlign w:val="center"/>
            <w:hideMark/>
          </w:tcPr>
          <w:p w14:paraId="5A2441F5"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12</w:t>
            </w:r>
          </w:p>
        </w:tc>
        <w:tc>
          <w:tcPr>
            <w:tcW w:w="1058" w:type="dxa"/>
            <w:shd w:val="clear" w:color="auto" w:fill="auto"/>
            <w:noWrap/>
            <w:vAlign w:val="center"/>
            <w:hideMark/>
          </w:tcPr>
          <w:p w14:paraId="3C034525"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3367" w:type="dxa"/>
            <w:shd w:val="clear" w:color="000000" w:fill="F1F1F1"/>
            <w:noWrap/>
            <w:vAlign w:val="center"/>
            <w:hideMark/>
          </w:tcPr>
          <w:p w14:paraId="648080EB"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十二、农林水支出</w:t>
            </w:r>
          </w:p>
        </w:tc>
        <w:tc>
          <w:tcPr>
            <w:tcW w:w="636" w:type="dxa"/>
            <w:shd w:val="clear" w:color="000000" w:fill="F1F1F1"/>
            <w:noWrap/>
            <w:vAlign w:val="center"/>
            <w:hideMark/>
          </w:tcPr>
          <w:p w14:paraId="30DEA777"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42</w:t>
            </w:r>
          </w:p>
        </w:tc>
        <w:tc>
          <w:tcPr>
            <w:tcW w:w="1056" w:type="dxa"/>
            <w:shd w:val="clear" w:color="auto" w:fill="auto"/>
            <w:noWrap/>
            <w:vAlign w:val="center"/>
            <w:hideMark/>
          </w:tcPr>
          <w:p w14:paraId="68CB4FE1"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53625905" w14:textId="77777777" w:rsidTr="00B27A98">
        <w:trPr>
          <w:trHeight w:val="300"/>
        </w:trPr>
        <w:tc>
          <w:tcPr>
            <w:tcW w:w="2263" w:type="dxa"/>
            <w:shd w:val="clear" w:color="000000" w:fill="F1F1F1"/>
            <w:noWrap/>
            <w:vAlign w:val="center"/>
            <w:hideMark/>
          </w:tcPr>
          <w:p w14:paraId="37034DE1"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 xml:space="preserve">　</w:t>
            </w:r>
          </w:p>
        </w:tc>
        <w:tc>
          <w:tcPr>
            <w:tcW w:w="636" w:type="dxa"/>
            <w:shd w:val="clear" w:color="000000" w:fill="F1F1F1"/>
            <w:noWrap/>
            <w:vAlign w:val="center"/>
            <w:hideMark/>
          </w:tcPr>
          <w:p w14:paraId="14CF7261"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13</w:t>
            </w:r>
          </w:p>
        </w:tc>
        <w:tc>
          <w:tcPr>
            <w:tcW w:w="1058" w:type="dxa"/>
            <w:shd w:val="clear" w:color="auto" w:fill="auto"/>
            <w:noWrap/>
            <w:vAlign w:val="center"/>
            <w:hideMark/>
          </w:tcPr>
          <w:p w14:paraId="7563AB35"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3367" w:type="dxa"/>
            <w:shd w:val="clear" w:color="000000" w:fill="F1F1F1"/>
            <w:noWrap/>
            <w:vAlign w:val="center"/>
            <w:hideMark/>
          </w:tcPr>
          <w:p w14:paraId="0BAC0465"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十三、交通运输支出</w:t>
            </w:r>
          </w:p>
        </w:tc>
        <w:tc>
          <w:tcPr>
            <w:tcW w:w="636" w:type="dxa"/>
            <w:shd w:val="clear" w:color="000000" w:fill="F1F1F1"/>
            <w:noWrap/>
            <w:vAlign w:val="center"/>
            <w:hideMark/>
          </w:tcPr>
          <w:p w14:paraId="61315F25"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43</w:t>
            </w:r>
          </w:p>
        </w:tc>
        <w:tc>
          <w:tcPr>
            <w:tcW w:w="1056" w:type="dxa"/>
            <w:shd w:val="clear" w:color="auto" w:fill="auto"/>
            <w:noWrap/>
            <w:vAlign w:val="center"/>
            <w:hideMark/>
          </w:tcPr>
          <w:p w14:paraId="3E1C0115"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0CA6E05D" w14:textId="77777777" w:rsidTr="00B27A98">
        <w:trPr>
          <w:trHeight w:val="300"/>
        </w:trPr>
        <w:tc>
          <w:tcPr>
            <w:tcW w:w="2263" w:type="dxa"/>
            <w:shd w:val="clear" w:color="000000" w:fill="F1F1F1"/>
            <w:noWrap/>
            <w:vAlign w:val="center"/>
            <w:hideMark/>
          </w:tcPr>
          <w:p w14:paraId="7EFDFF36"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 xml:space="preserve">　</w:t>
            </w:r>
          </w:p>
        </w:tc>
        <w:tc>
          <w:tcPr>
            <w:tcW w:w="636" w:type="dxa"/>
            <w:shd w:val="clear" w:color="000000" w:fill="F1F1F1"/>
            <w:noWrap/>
            <w:vAlign w:val="center"/>
            <w:hideMark/>
          </w:tcPr>
          <w:p w14:paraId="7134B81F"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14</w:t>
            </w:r>
          </w:p>
        </w:tc>
        <w:tc>
          <w:tcPr>
            <w:tcW w:w="1058" w:type="dxa"/>
            <w:shd w:val="clear" w:color="auto" w:fill="auto"/>
            <w:noWrap/>
            <w:vAlign w:val="center"/>
            <w:hideMark/>
          </w:tcPr>
          <w:p w14:paraId="0E8860B2"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3367" w:type="dxa"/>
            <w:shd w:val="clear" w:color="000000" w:fill="F1F1F1"/>
            <w:noWrap/>
            <w:vAlign w:val="center"/>
            <w:hideMark/>
          </w:tcPr>
          <w:p w14:paraId="20F241A4"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十四、资源勘探工业信息等支出</w:t>
            </w:r>
          </w:p>
        </w:tc>
        <w:tc>
          <w:tcPr>
            <w:tcW w:w="636" w:type="dxa"/>
            <w:shd w:val="clear" w:color="000000" w:fill="F1F1F1"/>
            <w:noWrap/>
            <w:vAlign w:val="center"/>
            <w:hideMark/>
          </w:tcPr>
          <w:p w14:paraId="08CCF42B"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44</w:t>
            </w:r>
          </w:p>
        </w:tc>
        <w:tc>
          <w:tcPr>
            <w:tcW w:w="1056" w:type="dxa"/>
            <w:shd w:val="clear" w:color="auto" w:fill="auto"/>
            <w:noWrap/>
            <w:vAlign w:val="center"/>
            <w:hideMark/>
          </w:tcPr>
          <w:p w14:paraId="39BFC2F4"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41867F8B" w14:textId="77777777" w:rsidTr="00B27A98">
        <w:trPr>
          <w:trHeight w:val="300"/>
        </w:trPr>
        <w:tc>
          <w:tcPr>
            <w:tcW w:w="2263" w:type="dxa"/>
            <w:shd w:val="clear" w:color="000000" w:fill="F1F1F1"/>
            <w:noWrap/>
            <w:vAlign w:val="center"/>
            <w:hideMark/>
          </w:tcPr>
          <w:p w14:paraId="78F9FB77"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 xml:space="preserve">　</w:t>
            </w:r>
          </w:p>
        </w:tc>
        <w:tc>
          <w:tcPr>
            <w:tcW w:w="636" w:type="dxa"/>
            <w:shd w:val="clear" w:color="000000" w:fill="F1F1F1"/>
            <w:noWrap/>
            <w:vAlign w:val="center"/>
            <w:hideMark/>
          </w:tcPr>
          <w:p w14:paraId="29310077"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15</w:t>
            </w:r>
          </w:p>
        </w:tc>
        <w:tc>
          <w:tcPr>
            <w:tcW w:w="1058" w:type="dxa"/>
            <w:shd w:val="clear" w:color="auto" w:fill="auto"/>
            <w:noWrap/>
            <w:vAlign w:val="center"/>
            <w:hideMark/>
          </w:tcPr>
          <w:p w14:paraId="57EB8F00"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3367" w:type="dxa"/>
            <w:shd w:val="clear" w:color="000000" w:fill="F1F1F1"/>
            <w:noWrap/>
            <w:vAlign w:val="center"/>
            <w:hideMark/>
          </w:tcPr>
          <w:p w14:paraId="02D9CE91"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十五、商业服务业等支出</w:t>
            </w:r>
          </w:p>
        </w:tc>
        <w:tc>
          <w:tcPr>
            <w:tcW w:w="636" w:type="dxa"/>
            <w:shd w:val="clear" w:color="000000" w:fill="F1F1F1"/>
            <w:noWrap/>
            <w:vAlign w:val="center"/>
            <w:hideMark/>
          </w:tcPr>
          <w:p w14:paraId="78D642CD"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45</w:t>
            </w:r>
          </w:p>
        </w:tc>
        <w:tc>
          <w:tcPr>
            <w:tcW w:w="1056" w:type="dxa"/>
            <w:shd w:val="clear" w:color="auto" w:fill="auto"/>
            <w:noWrap/>
            <w:vAlign w:val="center"/>
            <w:hideMark/>
          </w:tcPr>
          <w:p w14:paraId="4ECDA02B"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6A896F7A" w14:textId="77777777" w:rsidTr="00B27A98">
        <w:trPr>
          <w:trHeight w:val="300"/>
        </w:trPr>
        <w:tc>
          <w:tcPr>
            <w:tcW w:w="2263" w:type="dxa"/>
            <w:shd w:val="clear" w:color="000000" w:fill="F1F1F1"/>
            <w:noWrap/>
            <w:vAlign w:val="center"/>
            <w:hideMark/>
          </w:tcPr>
          <w:p w14:paraId="5FD7BCE1"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 xml:space="preserve">　</w:t>
            </w:r>
          </w:p>
        </w:tc>
        <w:tc>
          <w:tcPr>
            <w:tcW w:w="636" w:type="dxa"/>
            <w:shd w:val="clear" w:color="000000" w:fill="F1F1F1"/>
            <w:noWrap/>
            <w:vAlign w:val="center"/>
            <w:hideMark/>
          </w:tcPr>
          <w:p w14:paraId="7275E538"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16</w:t>
            </w:r>
          </w:p>
        </w:tc>
        <w:tc>
          <w:tcPr>
            <w:tcW w:w="1058" w:type="dxa"/>
            <w:shd w:val="clear" w:color="auto" w:fill="auto"/>
            <w:noWrap/>
            <w:vAlign w:val="center"/>
            <w:hideMark/>
          </w:tcPr>
          <w:p w14:paraId="2FE77B3F"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3367" w:type="dxa"/>
            <w:shd w:val="clear" w:color="000000" w:fill="F1F1F1"/>
            <w:noWrap/>
            <w:vAlign w:val="center"/>
            <w:hideMark/>
          </w:tcPr>
          <w:p w14:paraId="5E6FFAEC"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十六、金融支出</w:t>
            </w:r>
          </w:p>
        </w:tc>
        <w:tc>
          <w:tcPr>
            <w:tcW w:w="636" w:type="dxa"/>
            <w:shd w:val="clear" w:color="000000" w:fill="F1F1F1"/>
            <w:noWrap/>
            <w:vAlign w:val="center"/>
            <w:hideMark/>
          </w:tcPr>
          <w:p w14:paraId="08FA242D"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46</w:t>
            </w:r>
          </w:p>
        </w:tc>
        <w:tc>
          <w:tcPr>
            <w:tcW w:w="1056" w:type="dxa"/>
            <w:shd w:val="clear" w:color="auto" w:fill="auto"/>
            <w:noWrap/>
            <w:vAlign w:val="center"/>
            <w:hideMark/>
          </w:tcPr>
          <w:p w14:paraId="7F4A9029"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42EEB136" w14:textId="77777777" w:rsidTr="00B27A98">
        <w:trPr>
          <w:trHeight w:val="300"/>
        </w:trPr>
        <w:tc>
          <w:tcPr>
            <w:tcW w:w="2263" w:type="dxa"/>
            <w:shd w:val="clear" w:color="000000" w:fill="F1F1F1"/>
            <w:noWrap/>
            <w:vAlign w:val="center"/>
            <w:hideMark/>
          </w:tcPr>
          <w:p w14:paraId="35867B74"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 xml:space="preserve">　</w:t>
            </w:r>
          </w:p>
        </w:tc>
        <w:tc>
          <w:tcPr>
            <w:tcW w:w="636" w:type="dxa"/>
            <w:shd w:val="clear" w:color="000000" w:fill="F1F1F1"/>
            <w:noWrap/>
            <w:vAlign w:val="center"/>
            <w:hideMark/>
          </w:tcPr>
          <w:p w14:paraId="033AECB5"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17</w:t>
            </w:r>
          </w:p>
        </w:tc>
        <w:tc>
          <w:tcPr>
            <w:tcW w:w="1058" w:type="dxa"/>
            <w:shd w:val="clear" w:color="auto" w:fill="auto"/>
            <w:noWrap/>
            <w:vAlign w:val="center"/>
            <w:hideMark/>
          </w:tcPr>
          <w:p w14:paraId="06978DE3"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3367" w:type="dxa"/>
            <w:shd w:val="clear" w:color="000000" w:fill="F1F1F1"/>
            <w:noWrap/>
            <w:vAlign w:val="center"/>
            <w:hideMark/>
          </w:tcPr>
          <w:p w14:paraId="7F2ADE6F"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十七、援助其他地区支出</w:t>
            </w:r>
          </w:p>
        </w:tc>
        <w:tc>
          <w:tcPr>
            <w:tcW w:w="636" w:type="dxa"/>
            <w:shd w:val="clear" w:color="000000" w:fill="F1F1F1"/>
            <w:noWrap/>
            <w:vAlign w:val="center"/>
            <w:hideMark/>
          </w:tcPr>
          <w:p w14:paraId="2AA43629"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47</w:t>
            </w:r>
          </w:p>
        </w:tc>
        <w:tc>
          <w:tcPr>
            <w:tcW w:w="1056" w:type="dxa"/>
            <w:shd w:val="clear" w:color="auto" w:fill="auto"/>
            <w:noWrap/>
            <w:vAlign w:val="center"/>
            <w:hideMark/>
          </w:tcPr>
          <w:p w14:paraId="78BE9889"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155D324B" w14:textId="77777777" w:rsidTr="00B27A98">
        <w:trPr>
          <w:trHeight w:val="300"/>
        </w:trPr>
        <w:tc>
          <w:tcPr>
            <w:tcW w:w="2263" w:type="dxa"/>
            <w:shd w:val="clear" w:color="000000" w:fill="F1F1F1"/>
            <w:noWrap/>
            <w:vAlign w:val="center"/>
            <w:hideMark/>
          </w:tcPr>
          <w:p w14:paraId="5A113EC1"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 xml:space="preserve">　</w:t>
            </w:r>
          </w:p>
        </w:tc>
        <w:tc>
          <w:tcPr>
            <w:tcW w:w="636" w:type="dxa"/>
            <w:shd w:val="clear" w:color="000000" w:fill="F1F1F1"/>
            <w:noWrap/>
            <w:vAlign w:val="center"/>
            <w:hideMark/>
          </w:tcPr>
          <w:p w14:paraId="62A15FA8"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18</w:t>
            </w:r>
          </w:p>
        </w:tc>
        <w:tc>
          <w:tcPr>
            <w:tcW w:w="1058" w:type="dxa"/>
            <w:shd w:val="clear" w:color="auto" w:fill="auto"/>
            <w:noWrap/>
            <w:vAlign w:val="center"/>
            <w:hideMark/>
          </w:tcPr>
          <w:p w14:paraId="63DF9F4C"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3367" w:type="dxa"/>
            <w:shd w:val="clear" w:color="000000" w:fill="F1F1F1"/>
            <w:noWrap/>
            <w:vAlign w:val="center"/>
            <w:hideMark/>
          </w:tcPr>
          <w:p w14:paraId="14EF1CB3"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十八、自然资源海洋气象等支出</w:t>
            </w:r>
          </w:p>
        </w:tc>
        <w:tc>
          <w:tcPr>
            <w:tcW w:w="636" w:type="dxa"/>
            <w:shd w:val="clear" w:color="000000" w:fill="F1F1F1"/>
            <w:noWrap/>
            <w:vAlign w:val="center"/>
            <w:hideMark/>
          </w:tcPr>
          <w:p w14:paraId="342CBCB2"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48</w:t>
            </w:r>
          </w:p>
        </w:tc>
        <w:tc>
          <w:tcPr>
            <w:tcW w:w="1056" w:type="dxa"/>
            <w:shd w:val="clear" w:color="auto" w:fill="auto"/>
            <w:noWrap/>
            <w:vAlign w:val="center"/>
            <w:hideMark/>
          </w:tcPr>
          <w:p w14:paraId="334FBEF3"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03FDC1CA" w14:textId="77777777" w:rsidTr="00B27A98">
        <w:trPr>
          <w:trHeight w:val="300"/>
        </w:trPr>
        <w:tc>
          <w:tcPr>
            <w:tcW w:w="2263" w:type="dxa"/>
            <w:shd w:val="clear" w:color="000000" w:fill="F1F1F1"/>
            <w:noWrap/>
            <w:vAlign w:val="center"/>
            <w:hideMark/>
          </w:tcPr>
          <w:p w14:paraId="335F1BB2"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 xml:space="preserve">　</w:t>
            </w:r>
          </w:p>
        </w:tc>
        <w:tc>
          <w:tcPr>
            <w:tcW w:w="636" w:type="dxa"/>
            <w:shd w:val="clear" w:color="000000" w:fill="F1F1F1"/>
            <w:noWrap/>
            <w:vAlign w:val="center"/>
            <w:hideMark/>
          </w:tcPr>
          <w:p w14:paraId="62B65B32"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19</w:t>
            </w:r>
          </w:p>
        </w:tc>
        <w:tc>
          <w:tcPr>
            <w:tcW w:w="1058" w:type="dxa"/>
            <w:shd w:val="clear" w:color="auto" w:fill="auto"/>
            <w:noWrap/>
            <w:vAlign w:val="center"/>
            <w:hideMark/>
          </w:tcPr>
          <w:p w14:paraId="08D57DB6"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3367" w:type="dxa"/>
            <w:shd w:val="clear" w:color="000000" w:fill="F1F1F1"/>
            <w:noWrap/>
            <w:vAlign w:val="center"/>
            <w:hideMark/>
          </w:tcPr>
          <w:p w14:paraId="01445BDB"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十九、住房保障支出</w:t>
            </w:r>
          </w:p>
        </w:tc>
        <w:tc>
          <w:tcPr>
            <w:tcW w:w="636" w:type="dxa"/>
            <w:shd w:val="clear" w:color="000000" w:fill="F1F1F1"/>
            <w:noWrap/>
            <w:vAlign w:val="center"/>
            <w:hideMark/>
          </w:tcPr>
          <w:p w14:paraId="36847E88"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49</w:t>
            </w:r>
          </w:p>
        </w:tc>
        <w:tc>
          <w:tcPr>
            <w:tcW w:w="1056" w:type="dxa"/>
            <w:shd w:val="clear" w:color="auto" w:fill="auto"/>
            <w:noWrap/>
            <w:vAlign w:val="center"/>
            <w:hideMark/>
          </w:tcPr>
          <w:p w14:paraId="13F6F410"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124.12</w:t>
            </w:r>
          </w:p>
        </w:tc>
      </w:tr>
      <w:tr w:rsidR="008215A0" w:rsidRPr="00CD00FB" w14:paraId="11D711DE" w14:textId="77777777" w:rsidTr="00B27A98">
        <w:trPr>
          <w:trHeight w:val="300"/>
        </w:trPr>
        <w:tc>
          <w:tcPr>
            <w:tcW w:w="2263" w:type="dxa"/>
            <w:shd w:val="clear" w:color="000000" w:fill="F1F1F1"/>
            <w:noWrap/>
            <w:vAlign w:val="center"/>
            <w:hideMark/>
          </w:tcPr>
          <w:p w14:paraId="390009CC"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 xml:space="preserve">　</w:t>
            </w:r>
          </w:p>
        </w:tc>
        <w:tc>
          <w:tcPr>
            <w:tcW w:w="636" w:type="dxa"/>
            <w:shd w:val="clear" w:color="000000" w:fill="F1F1F1"/>
            <w:noWrap/>
            <w:vAlign w:val="center"/>
            <w:hideMark/>
          </w:tcPr>
          <w:p w14:paraId="51849F6A"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20</w:t>
            </w:r>
          </w:p>
        </w:tc>
        <w:tc>
          <w:tcPr>
            <w:tcW w:w="1058" w:type="dxa"/>
            <w:shd w:val="clear" w:color="auto" w:fill="auto"/>
            <w:noWrap/>
            <w:vAlign w:val="center"/>
            <w:hideMark/>
          </w:tcPr>
          <w:p w14:paraId="67E48A36"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3367" w:type="dxa"/>
            <w:shd w:val="clear" w:color="000000" w:fill="F1F1F1"/>
            <w:noWrap/>
            <w:vAlign w:val="center"/>
            <w:hideMark/>
          </w:tcPr>
          <w:p w14:paraId="45971840"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二十、粮油物资储备支出</w:t>
            </w:r>
          </w:p>
        </w:tc>
        <w:tc>
          <w:tcPr>
            <w:tcW w:w="636" w:type="dxa"/>
            <w:shd w:val="clear" w:color="000000" w:fill="F1F1F1"/>
            <w:noWrap/>
            <w:vAlign w:val="center"/>
            <w:hideMark/>
          </w:tcPr>
          <w:p w14:paraId="508A38E6"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50</w:t>
            </w:r>
          </w:p>
        </w:tc>
        <w:tc>
          <w:tcPr>
            <w:tcW w:w="1056" w:type="dxa"/>
            <w:shd w:val="clear" w:color="auto" w:fill="auto"/>
            <w:noWrap/>
            <w:vAlign w:val="center"/>
            <w:hideMark/>
          </w:tcPr>
          <w:p w14:paraId="61B5ADBD"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595.00</w:t>
            </w:r>
          </w:p>
        </w:tc>
      </w:tr>
      <w:tr w:rsidR="008215A0" w:rsidRPr="00CD00FB" w14:paraId="40E4C378" w14:textId="77777777" w:rsidTr="00B27A98">
        <w:trPr>
          <w:trHeight w:val="300"/>
        </w:trPr>
        <w:tc>
          <w:tcPr>
            <w:tcW w:w="2263" w:type="dxa"/>
            <w:shd w:val="clear" w:color="000000" w:fill="F1F1F1"/>
            <w:noWrap/>
            <w:vAlign w:val="center"/>
            <w:hideMark/>
          </w:tcPr>
          <w:p w14:paraId="02D51BD6"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 xml:space="preserve">　</w:t>
            </w:r>
          </w:p>
        </w:tc>
        <w:tc>
          <w:tcPr>
            <w:tcW w:w="636" w:type="dxa"/>
            <w:shd w:val="clear" w:color="000000" w:fill="F1F1F1"/>
            <w:noWrap/>
            <w:vAlign w:val="center"/>
            <w:hideMark/>
          </w:tcPr>
          <w:p w14:paraId="44999E55"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21</w:t>
            </w:r>
          </w:p>
        </w:tc>
        <w:tc>
          <w:tcPr>
            <w:tcW w:w="1058" w:type="dxa"/>
            <w:shd w:val="clear" w:color="auto" w:fill="auto"/>
            <w:noWrap/>
            <w:vAlign w:val="center"/>
            <w:hideMark/>
          </w:tcPr>
          <w:p w14:paraId="545C088F"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3367" w:type="dxa"/>
            <w:shd w:val="clear" w:color="000000" w:fill="F1F1F1"/>
            <w:noWrap/>
            <w:vAlign w:val="center"/>
            <w:hideMark/>
          </w:tcPr>
          <w:p w14:paraId="69C13315"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二十一、国有资本经营预算支出</w:t>
            </w:r>
          </w:p>
        </w:tc>
        <w:tc>
          <w:tcPr>
            <w:tcW w:w="636" w:type="dxa"/>
            <w:shd w:val="clear" w:color="000000" w:fill="F1F1F1"/>
            <w:noWrap/>
            <w:vAlign w:val="center"/>
            <w:hideMark/>
          </w:tcPr>
          <w:p w14:paraId="33D1A45E"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51</w:t>
            </w:r>
          </w:p>
        </w:tc>
        <w:tc>
          <w:tcPr>
            <w:tcW w:w="1056" w:type="dxa"/>
            <w:shd w:val="clear" w:color="auto" w:fill="auto"/>
            <w:noWrap/>
            <w:vAlign w:val="center"/>
            <w:hideMark/>
          </w:tcPr>
          <w:p w14:paraId="0C9B67AB"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12.12</w:t>
            </w:r>
          </w:p>
        </w:tc>
      </w:tr>
      <w:tr w:rsidR="008215A0" w:rsidRPr="00CD00FB" w14:paraId="1FFFEEF6" w14:textId="77777777" w:rsidTr="00B27A98">
        <w:trPr>
          <w:trHeight w:val="300"/>
        </w:trPr>
        <w:tc>
          <w:tcPr>
            <w:tcW w:w="2263" w:type="dxa"/>
            <w:shd w:val="clear" w:color="000000" w:fill="F1F1F1"/>
            <w:noWrap/>
            <w:vAlign w:val="center"/>
            <w:hideMark/>
          </w:tcPr>
          <w:p w14:paraId="232B9CDA"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 xml:space="preserve">　</w:t>
            </w:r>
          </w:p>
        </w:tc>
        <w:tc>
          <w:tcPr>
            <w:tcW w:w="636" w:type="dxa"/>
            <w:shd w:val="clear" w:color="000000" w:fill="F1F1F1"/>
            <w:noWrap/>
            <w:vAlign w:val="center"/>
            <w:hideMark/>
          </w:tcPr>
          <w:p w14:paraId="5B2D0AE5"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22</w:t>
            </w:r>
          </w:p>
        </w:tc>
        <w:tc>
          <w:tcPr>
            <w:tcW w:w="1058" w:type="dxa"/>
            <w:shd w:val="clear" w:color="auto" w:fill="auto"/>
            <w:noWrap/>
            <w:vAlign w:val="center"/>
            <w:hideMark/>
          </w:tcPr>
          <w:p w14:paraId="6A07D9C4"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3367" w:type="dxa"/>
            <w:shd w:val="clear" w:color="000000" w:fill="F1F1F1"/>
            <w:noWrap/>
            <w:vAlign w:val="center"/>
            <w:hideMark/>
          </w:tcPr>
          <w:p w14:paraId="4A3A2798"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二十二、灾害防治及应急管理支出</w:t>
            </w:r>
          </w:p>
        </w:tc>
        <w:tc>
          <w:tcPr>
            <w:tcW w:w="636" w:type="dxa"/>
            <w:shd w:val="clear" w:color="000000" w:fill="F1F1F1"/>
            <w:noWrap/>
            <w:vAlign w:val="center"/>
            <w:hideMark/>
          </w:tcPr>
          <w:p w14:paraId="340DC192"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52</w:t>
            </w:r>
          </w:p>
        </w:tc>
        <w:tc>
          <w:tcPr>
            <w:tcW w:w="1056" w:type="dxa"/>
            <w:shd w:val="clear" w:color="auto" w:fill="auto"/>
            <w:noWrap/>
            <w:vAlign w:val="center"/>
            <w:hideMark/>
          </w:tcPr>
          <w:p w14:paraId="0EC7BF3B"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5B4DADD9" w14:textId="77777777" w:rsidTr="00B27A98">
        <w:trPr>
          <w:trHeight w:val="300"/>
        </w:trPr>
        <w:tc>
          <w:tcPr>
            <w:tcW w:w="2263" w:type="dxa"/>
            <w:shd w:val="clear" w:color="000000" w:fill="F1F1F1"/>
            <w:noWrap/>
            <w:vAlign w:val="center"/>
            <w:hideMark/>
          </w:tcPr>
          <w:p w14:paraId="387F1382"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 xml:space="preserve">　</w:t>
            </w:r>
          </w:p>
        </w:tc>
        <w:tc>
          <w:tcPr>
            <w:tcW w:w="636" w:type="dxa"/>
            <w:shd w:val="clear" w:color="000000" w:fill="F1F1F1"/>
            <w:noWrap/>
            <w:vAlign w:val="center"/>
            <w:hideMark/>
          </w:tcPr>
          <w:p w14:paraId="7E1C2848"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23</w:t>
            </w:r>
          </w:p>
        </w:tc>
        <w:tc>
          <w:tcPr>
            <w:tcW w:w="1058" w:type="dxa"/>
            <w:shd w:val="clear" w:color="auto" w:fill="auto"/>
            <w:noWrap/>
            <w:vAlign w:val="center"/>
            <w:hideMark/>
          </w:tcPr>
          <w:p w14:paraId="19424BFE"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3367" w:type="dxa"/>
            <w:shd w:val="clear" w:color="000000" w:fill="F1F1F1"/>
            <w:noWrap/>
            <w:vAlign w:val="center"/>
            <w:hideMark/>
          </w:tcPr>
          <w:p w14:paraId="1F6A103D"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二十三、其他支出</w:t>
            </w:r>
          </w:p>
        </w:tc>
        <w:tc>
          <w:tcPr>
            <w:tcW w:w="636" w:type="dxa"/>
            <w:shd w:val="clear" w:color="000000" w:fill="F1F1F1"/>
            <w:noWrap/>
            <w:vAlign w:val="center"/>
            <w:hideMark/>
          </w:tcPr>
          <w:p w14:paraId="42FDBA25"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53</w:t>
            </w:r>
          </w:p>
        </w:tc>
        <w:tc>
          <w:tcPr>
            <w:tcW w:w="1056" w:type="dxa"/>
            <w:shd w:val="clear" w:color="auto" w:fill="auto"/>
            <w:noWrap/>
            <w:vAlign w:val="center"/>
            <w:hideMark/>
          </w:tcPr>
          <w:p w14:paraId="1ADAE9F2"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964.73</w:t>
            </w:r>
          </w:p>
        </w:tc>
      </w:tr>
      <w:tr w:rsidR="008215A0" w:rsidRPr="00CD00FB" w14:paraId="51D540D7" w14:textId="77777777" w:rsidTr="00B27A98">
        <w:trPr>
          <w:trHeight w:val="300"/>
        </w:trPr>
        <w:tc>
          <w:tcPr>
            <w:tcW w:w="2263" w:type="dxa"/>
            <w:shd w:val="clear" w:color="000000" w:fill="F1F1F1"/>
            <w:noWrap/>
            <w:vAlign w:val="center"/>
            <w:hideMark/>
          </w:tcPr>
          <w:p w14:paraId="4E133BDE" w14:textId="77777777" w:rsidR="008215A0" w:rsidRPr="00CD00FB" w:rsidRDefault="008215A0" w:rsidP="00B27A98">
            <w:pPr>
              <w:widowControl/>
              <w:jc w:val="center"/>
              <w:rPr>
                <w:rFonts w:ascii="宋体" w:hAnsi="宋体" w:cs="宋体"/>
                <w:b/>
                <w:bCs/>
                <w:color w:val="000000"/>
                <w:kern w:val="0"/>
                <w:szCs w:val="21"/>
              </w:rPr>
            </w:pPr>
            <w:r w:rsidRPr="00CD00FB">
              <w:rPr>
                <w:rFonts w:ascii="宋体" w:hAnsi="宋体" w:cs="宋体" w:hint="eastAsia"/>
                <w:b/>
                <w:bCs/>
                <w:color w:val="000000"/>
                <w:kern w:val="0"/>
                <w:szCs w:val="21"/>
              </w:rPr>
              <w:t xml:space="preserve">　</w:t>
            </w:r>
          </w:p>
        </w:tc>
        <w:tc>
          <w:tcPr>
            <w:tcW w:w="636" w:type="dxa"/>
            <w:shd w:val="clear" w:color="000000" w:fill="F1F1F1"/>
            <w:noWrap/>
            <w:vAlign w:val="center"/>
            <w:hideMark/>
          </w:tcPr>
          <w:p w14:paraId="52EC8BEA"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24</w:t>
            </w:r>
          </w:p>
        </w:tc>
        <w:tc>
          <w:tcPr>
            <w:tcW w:w="1058" w:type="dxa"/>
            <w:shd w:val="clear" w:color="auto" w:fill="auto"/>
            <w:noWrap/>
            <w:vAlign w:val="center"/>
            <w:hideMark/>
          </w:tcPr>
          <w:p w14:paraId="57C068CC"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3367" w:type="dxa"/>
            <w:shd w:val="clear" w:color="000000" w:fill="F1F1F1"/>
            <w:noWrap/>
            <w:vAlign w:val="center"/>
            <w:hideMark/>
          </w:tcPr>
          <w:p w14:paraId="0B813D51"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二十四、债务还本支出</w:t>
            </w:r>
          </w:p>
        </w:tc>
        <w:tc>
          <w:tcPr>
            <w:tcW w:w="636" w:type="dxa"/>
            <w:shd w:val="clear" w:color="000000" w:fill="F1F1F1"/>
            <w:noWrap/>
            <w:vAlign w:val="center"/>
            <w:hideMark/>
          </w:tcPr>
          <w:p w14:paraId="781A12C8"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54</w:t>
            </w:r>
          </w:p>
        </w:tc>
        <w:tc>
          <w:tcPr>
            <w:tcW w:w="1056" w:type="dxa"/>
            <w:shd w:val="clear" w:color="auto" w:fill="auto"/>
            <w:noWrap/>
            <w:vAlign w:val="center"/>
            <w:hideMark/>
          </w:tcPr>
          <w:p w14:paraId="1B4F7201"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070BE97E" w14:textId="77777777" w:rsidTr="00B27A98">
        <w:trPr>
          <w:trHeight w:val="300"/>
        </w:trPr>
        <w:tc>
          <w:tcPr>
            <w:tcW w:w="2263" w:type="dxa"/>
            <w:shd w:val="clear" w:color="000000" w:fill="F1F1F1"/>
            <w:noWrap/>
            <w:vAlign w:val="center"/>
            <w:hideMark/>
          </w:tcPr>
          <w:p w14:paraId="7D2565F2"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 xml:space="preserve">　</w:t>
            </w:r>
          </w:p>
        </w:tc>
        <w:tc>
          <w:tcPr>
            <w:tcW w:w="636" w:type="dxa"/>
            <w:shd w:val="clear" w:color="000000" w:fill="F1F1F1"/>
            <w:noWrap/>
            <w:vAlign w:val="center"/>
            <w:hideMark/>
          </w:tcPr>
          <w:p w14:paraId="1EC5000F"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25</w:t>
            </w:r>
          </w:p>
        </w:tc>
        <w:tc>
          <w:tcPr>
            <w:tcW w:w="1058" w:type="dxa"/>
            <w:shd w:val="clear" w:color="auto" w:fill="auto"/>
            <w:noWrap/>
            <w:vAlign w:val="center"/>
            <w:hideMark/>
          </w:tcPr>
          <w:p w14:paraId="069FFEC4"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3367" w:type="dxa"/>
            <w:shd w:val="clear" w:color="000000" w:fill="F1F1F1"/>
            <w:noWrap/>
            <w:vAlign w:val="center"/>
            <w:hideMark/>
          </w:tcPr>
          <w:p w14:paraId="42FD6B56"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二十五、债务付息支出</w:t>
            </w:r>
          </w:p>
        </w:tc>
        <w:tc>
          <w:tcPr>
            <w:tcW w:w="636" w:type="dxa"/>
            <w:shd w:val="clear" w:color="000000" w:fill="F1F1F1"/>
            <w:noWrap/>
            <w:vAlign w:val="center"/>
            <w:hideMark/>
          </w:tcPr>
          <w:p w14:paraId="0F0B9CAF"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55</w:t>
            </w:r>
          </w:p>
        </w:tc>
        <w:tc>
          <w:tcPr>
            <w:tcW w:w="1056" w:type="dxa"/>
            <w:shd w:val="clear" w:color="auto" w:fill="auto"/>
            <w:noWrap/>
            <w:vAlign w:val="center"/>
            <w:hideMark/>
          </w:tcPr>
          <w:p w14:paraId="4B86A244"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04C42546" w14:textId="77777777" w:rsidTr="00B27A98">
        <w:trPr>
          <w:trHeight w:val="300"/>
        </w:trPr>
        <w:tc>
          <w:tcPr>
            <w:tcW w:w="2263" w:type="dxa"/>
            <w:shd w:val="clear" w:color="000000" w:fill="F1F1F1"/>
            <w:noWrap/>
            <w:vAlign w:val="center"/>
            <w:hideMark/>
          </w:tcPr>
          <w:p w14:paraId="6F0931A1"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 xml:space="preserve">　</w:t>
            </w:r>
          </w:p>
        </w:tc>
        <w:tc>
          <w:tcPr>
            <w:tcW w:w="636" w:type="dxa"/>
            <w:shd w:val="clear" w:color="000000" w:fill="F1F1F1"/>
            <w:noWrap/>
            <w:vAlign w:val="center"/>
            <w:hideMark/>
          </w:tcPr>
          <w:p w14:paraId="4EC1E9CB"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26</w:t>
            </w:r>
          </w:p>
        </w:tc>
        <w:tc>
          <w:tcPr>
            <w:tcW w:w="1058" w:type="dxa"/>
            <w:shd w:val="clear" w:color="auto" w:fill="auto"/>
            <w:noWrap/>
            <w:vAlign w:val="center"/>
            <w:hideMark/>
          </w:tcPr>
          <w:p w14:paraId="0032F7C7"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3367" w:type="dxa"/>
            <w:shd w:val="clear" w:color="000000" w:fill="F1F1F1"/>
            <w:noWrap/>
            <w:vAlign w:val="center"/>
            <w:hideMark/>
          </w:tcPr>
          <w:p w14:paraId="3E583767"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二十六、抗疫特别国债安排的支出</w:t>
            </w:r>
          </w:p>
        </w:tc>
        <w:tc>
          <w:tcPr>
            <w:tcW w:w="636" w:type="dxa"/>
            <w:shd w:val="clear" w:color="000000" w:fill="F1F1F1"/>
            <w:noWrap/>
            <w:vAlign w:val="center"/>
            <w:hideMark/>
          </w:tcPr>
          <w:p w14:paraId="59524767"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56</w:t>
            </w:r>
          </w:p>
        </w:tc>
        <w:tc>
          <w:tcPr>
            <w:tcW w:w="1056" w:type="dxa"/>
            <w:shd w:val="clear" w:color="auto" w:fill="auto"/>
            <w:noWrap/>
            <w:vAlign w:val="center"/>
            <w:hideMark/>
          </w:tcPr>
          <w:p w14:paraId="448A329A"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2483956C" w14:textId="77777777" w:rsidTr="00B27A98">
        <w:trPr>
          <w:trHeight w:val="300"/>
        </w:trPr>
        <w:tc>
          <w:tcPr>
            <w:tcW w:w="2263" w:type="dxa"/>
            <w:shd w:val="clear" w:color="000000" w:fill="F1F1F1"/>
            <w:noWrap/>
            <w:vAlign w:val="center"/>
            <w:hideMark/>
          </w:tcPr>
          <w:p w14:paraId="73D6B469" w14:textId="77777777" w:rsidR="008215A0" w:rsidRPr="00CD00FB" w:rsidRDefault="008215A0" w:rsidP="00B27A98">
            <w:pPr>
              <w:widowControl/>
              <w:jc w:val="center"/>
              <w:rPr>
                <w:rFonts w:ascii="宋体" w:hAnsi="宋体" w:cs="宋体"/>
                <w:b/>
                <w:bCs/>
                <w:color w:val="000000"/>
                <w:kern w:val="0"/>
                <w:szCs w:val="21"/>
              </w:rPr>
            </w:pPr>
            <w:r w:rsidRPr="00CD00FB">
              <w:rPr>
                <w:rFonts w:ascii="宋体" w:hAnsi="宋体" w:cs="宋体" w:hint="eastAsia"/>
                <w:b/>
                <w:bCs/>
                <w:color w:val="000000"/>
                <w:kern w:val="0"/>
                <w:szCs w:val="21"/>
              </w:rPr>
              <w:t>本年收入合计</w:t>
            </w:r>
          </w:p>
        </w:tc>
        <w:tc>
          <w:tcPr>
            <w:tcW w:w="636" w:type="dxa"/>
            <w:shd w:val="clear" w:color="000000" w:fill="F1F1F1"/>
            <w:noWrap/>
            <w:vAlign w:val="center"/>
            <w:hideMark/>
          </w:tcPr>
          <w:p w14:paraId="0ED41303"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27</w:t>
            </w:r>
          </w:p>
        </w:tc>
        <w:tc>
          <w:tcPr>
            <w:tcW w:w="1058" w:type="dxa"/>
            <w:shd w:val="clear" w:color="auto" w:fill="auto"/>
            <w:noWrap/>
            <w:vAlign w:val="center"/>
            <w:hideMark/>
          </w:tcPr>
          <w:p w14:paraId="78EA1F18"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3,371.54</w:t>
            </w:r>
          </w:p>
        </w:tc>
        <w:tc>
          <w:tcPr>
            <w:tcW w:w="3367" w:type="dxa"/>
            <w:shd w:val="clear" w:color="000000" w:fill="F1F1F1"/>
            <w:noWrap/>
            <w:vAlign w:val="center"/>
            <w:hideMark/>
          </w:tcPr>
          <w:p w14:paraId="48B7E716" w14:textId="77777777" w:rsidR="008215A0" w:rsidRPr="00CD00FB" w:rsidRDefault="008215A0" w:rsidP="00B27A98">
            <w:pPr>
              <w:widowControl/>
              <w:jc w:val="center"/>
              <w:rPr>
                <w:rFonts w:ascii="宋体" w:hAnsi="宋体" w:cs="宋体"/>
                <w:b/>
                <w:bCs/>
                <w:color w:val="000000"/>
                <w:kern w:val="0"/>
                <w:szCs w:val="21"/>
              </w:rPr>
            </w:pPr>
            <w:r w:rsidRPr="00CD00FB">
              <w:rPr>
                <w:rFonts w:ascii="宋体" w:hAnsi="宋体" w:cs="宋体" w:hint="eastAsia"/>
                <w:b/>
                <w:bCs/>
                <w:color w:val="000000"/>
                <w:kern w:val="0"/>
                <w:szCs w:val="21"/>
              </w:rPr>
              <w:t>本年支出合计</w:t>
            </w:r>
          </w:p>
        </w:tc>
        <w:tc>
          <w:tcPr>
            <w:tcW w:w="636" w:type="dxa"/>
            <w:shd w:val="clear" w:color="000000" w:fill="F1F1F1"/>
            <w:noWrap/>
            <w:vAlign w:val="center"/>
            <w:hideMark/>
          </w:tcPr>
          <w:p w14:paraId="52290B23"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57</w:t>
            </w:r>
          </w:p>
        </w:tc>
        <w:tc>
          <w:tcPr>
            <w:tcW w:w="1056" w:type="dxa"/>
            <w:shd w:val="clear" w:color="auto" w:fill="auto"/>
            <w:noWrap/>
            <w:vAlign w:val="center"/>
            <w:hideMark/>
          </w:tcPr>
          <w:p w14:paraId="0B9D16E2"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3,356.24</w:t>
            </w:r>
          </w:p>
        </w:tc>
      </w:tr>
      <w:tr w:rsidR="008215A0" w:rsidRPr="00CD00FB" w14:paraId="4ED05E62" w14:textId="77777777" w:rsidTr="00B27A98">
        <w:trPr>
          <w:trHeight w:val="300"/>
        </w:trPr>
        <w:tc>
          <w:tcPr>
            <w:tcW w:w="2263" w:type="dxa"/>
            <w:shd w:val="clear" w:color="000000" w:fill="F1F1F1"/>
            <w:noWrap/>
            <w:vAlign w:val="center"/>
            <w:hideMark/>
          </w:tcPr>
          <w:p w14:paraId="67082859"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使用非财政拨款结余（含专用结余）</w:t>
            </w:r>
          </w:p>
        </w:tc>
        <w:tc>
          <w:tcPr>
            <w:tcW w:w="636" w:type="dxa"/>
            <w:shd w:val="clear" w:color="000000" w:fill="F1F1F1"/>
            <w:noWrap/>
            <w:vAlign w:val="center"/>
            <w:hideMark/>
          </w:tcPr>
          <w:p w14:paraId="3F00CF8D"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28</w:t>
            </w:r>
          </w:p>
        </w:tc>
        <w:tc>
          <w:tcPr>
            <w:tcW w:w="1058" w:type="dxa"/>
            <w:shd w:val="clear" w:color="auto" w:fill="auto"/>
            <w:noWrap/>
            <w:vAlign w:val="center"/>
            <w:hideMark/>
          </w:tcPr>
          <w:p w14:paraId="1D27194F"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3367" w:type="dxa"/>
            <w:shd w:val="clear" w:color="000000" w:fill="F1F1F1"/>
            <w:noWrap/>
            <w:vAlign w:val="center"/>
            <w:hideMark/>
          </w:tcPr>
          <w:p w14:paraId="0002B150"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结余分配</w:t>
            </w:r>
          </w:p>
        </w:tc>
        <w:tc>
          <w:tcPr>
            <w:tcW w:w="636" w:type="dxa"/>
            <w:shd w:val="clear" w:color="000000" w:fill="F1F1F1"/>
            <w:noWrap/>
            <w:vAlign w:val="center"/>
            <w:hideMark/>
          </w:tcPr>
          <w:p w14:paraId="0258F3BA"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58</w:t>
            </w:r>
          </w:p>
        </w:tc>
        <w:tc>
          <w:tcPr>
            <w:tcW w:w="1056" w:type="dxa"/>
            <w:shd w:val="clear" w:color="auto" w:fill="auto"/>
            <w:noWrap/>
            <w:vAlign w:val="center"/>
            <w:hideMark/>
          </w:tcPr>
          <w:p w14:paraId="298AD9C0"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33BE5C1C" w14:textId="77777777" w:rsidTr="00B27A98">
        <w:trPr>
          <w:trHeight w:val="300"/>
        </w:trPr>
        <w:tc>
          <w:tcPr>
            <w:tcW w:w="2263" w:type="dxa"/>
            <w:shd w:val="clear" w:color="000000" w:fill="F1F1F1"/>
            <w:noWrap/>
            <w:vAlign w:val="center"/>
            <w:hideMark/>
          </w:tcPr>
          <w:p w14:paraId="2AC1BFDA"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年初结转和结余</w:t>
            </w:r>
          </w:p>
        </w:tc>
        <w:tc>
          <w:tcPr>
            <w:tcW w:w="636" w:type="dxa"/>
            <w:shd w:val="clear" w:color="000000" w:fill="F1F1F1"/>
            <w:noWrap/>
            <w:vAlign w:val="center"/>
            <w:hideMark/>
          </w:tcPr>
          <w:p w14:paraId="65E9D766"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29</w:t>
            </w:r>
          </w:p>
        </w:tc>
        <w:tc>
          <w:tcPr>
            <w:tcW w:w="1058" w:type="dxa"/>
            <w:shd w:val="clear" w:color="auto" w:fill="auto"/>
            <w:noWrap/>
            <w:vAlign w:val="center"/>
            <w:hideMark/>
          </w:tcPr>
          <w:p w14:paraId="56F94FA7"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208.84</w:t>
            </w:r>
          </w:p>
        </w:tc>
        <w:tc>
          <w:tcPr>
            <w:tcW w:w="3367" w:type="dxa"/>
            <w:shd w:val="clear" w:color="000000" w:fill="F1F1F1"/>
            <w:noWrap/>
            <w:vAlign w:val="center"/>
            <w:hideMark/>
          </w:tcPr>
          <w:p w14:paraId="35718D37"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年末结转和结余</w:t>
            </w:r>
          </w:p>
        </w:tc>
        <w:tc>
          <w:tcPr>
            <w:tcW w:w="636" w:type="dxa"/>
            <w:shd w:val="clear" w:color="000000" w:fill="F1F1F1"/>
            <w:noWrap/>
            <w:vAlign w:val="center"/>
            <w:hideMark/>
          </w:tcPr>
          <w:p w14:paraId="60433EC3"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59</w:t>
            </w:r>
          </w:p>
        </w:tc>
        <w:tc>
          <w:tcPr>
            <w:tcW w:w="1056" w:type="dxa"/>
            <w:shd w:val="clear" w:color="auto" w:fill="auto"/>
            <w:noWrap/>
            <w:vAlign w:val="center"/>
            <w:hideMark/>
          </w:tcPr>
          <w:p w14:paraId="0ECB9922"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224.14</w:t>
            </w:r>
          </w:p>
        </w:tc>
      </w:tr>
      <w:tr w:rsidR="008215A0" w:rsidRPr="00CD00FB" w14:paraId="3D93FCA4" w14:textId="77777777" w:rsidTr="00B27A98">
        <w:trPr>
          <w:trHeight w:val="300"/>
        </w:trPr>
        <w:tc>
          <w:tcPr>
            <w:tcW w:w="2263" w:type="dxa"/>
            <w:shd w:val="clear" w:color="000000" w:fill="F1F1F1"/>
            <w:noWrap/>
            <w:vAlign w:val="center"/>
            <w:hideMark/>
          </w:tcPr>
          <w:p w14:paraId="28E05ED6" w14:textId="77777777" w:rsidR="008215A0" w:rsidRPr="00CD00FB" w:rsidRDefault="008215A0" w:rsidP="00B27A98">
            <w:pPr>
              <w:widowControl/>
              <w:jc w:val="center"/>
              <w:rPr>
                <w:rFonts w:ascii="宋体" w:hAnsi="宋体" w:cs="宋体"/>
                <w:b/>
                <w:bCs/>
                <w:color w:val="000000"/>
                <w:kern w:val="0"/>
                <w:szCs w:val="21"/>
              </w:rPr>
            </w:pPr>
            <w:r w:rsidRPr="00CD00FB">
              <w:rPr>
                <w:rFonts w:ascii="宋体" w:hAnsi="宋体" w:cs="宋体" w:hint="eastAsia"/>
                <w:b/>
                <w:bCs/>
                <w:color w:val="000000"/>
                <w:kern w:val="0"/>
                <w:szCs w:val="21"/>
              </w:rPr>
              <w:t>总计</w:t>
            </w:r>
          </w:p>
        </w:tc>
        <w:tc>
          <w:tcPr>
            <w:tcW w:w="636" w:type="dxa"/>
            <w:shd w:val="clear" w:color="000000" w:fill="F1F1F1"/>
            <w:noWrap/>
            <w:vAlign w:val="center"/>
            <w:hideMark/>
          </w:tcPr>
          <w:p w14:paraId="42A30837"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30</w:t>
            </w:r>
          </w:p>
        </w:tc>
        <w:tc>
          <w:tcPr>
            <w:tcW w:w="1058" w:type="dxa"/>
            <w:shd w:val="clear" w:color="auto" w:fill="auto"/>
            <w:noWrap/>
            <w:vAlign w:val="center"/>
            <w:hideMark/>
          </w:tcPr>
          <w:p w14:paraId="037F02F8"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3,580.38</w:t>
            </w:r>
          </w:p>
        </w:tc>
        <w:tc>
          <w:tcPr>
            <w:tcW w:w="3367" w:type="dxa"/>
            <w:shd w:val="clear" w:color="000000" w:fill="F1F1F1"/>
            <w:noWrap/>
            <w:vAlign w:val="center"/>
            <w:hideMark/>
          </w:tcPr>
          <w:p w14:paraId="3AA1A788" w14:textId="77777777" w:rsidR="008215A0" w:rsidRPr="00CD00FB" w:rsidRDefault="008215A0" w:rsidP="00B27A98">
            <w:pPr>
              <w:widowControl/>
              <w:jc w:val="center"/>
              <w:rPr>
                <w:rFonts w:ascii="宋体" w:hAnsi="宋体" w:cs="宋体"/>
                <w:b/>
                <w:bCs/>
                <w:color w:val="000000"/>
                <w:kern w:val="0"/>
                <w:szCs w:val="21"/>
              </w:rPr>
            </w:pPr>
            <w:r w:rsidRPr="00CD00FB">
              <w:rPr>
                <w:rFonts w:ascii="宋体" w:hAnsi="宋体" w:cs="宋体" w:hint="eastAsia"/>
                <w:b/>
                <w:bCs/>
                <w:color w:val="000000"/>
                <w:kern w:val="0"/>
                <w:szCs w:val="21"/>
              </w:rPr>
              <w:t>总计</w:t>
            </w:r>
          </w:p>
        </w:tc>
        <w:tc>
          <w:tcPr>
            <w:tcW w:w="636" w:type="dxa"/>
            <w:shd w:val="clear" w:color="000000" w:fill="F1F1F1"/>
            <w:noWrap/>
            <w:vAlign w:val="center"/>
            <w:hideMark/>
          </w:tcPr>
          <w:p w14:paraId="66A4D22A"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60</w:t>
            </w:r>
          </w:p>
        </w:tc>
        <w:tc>
          <w:tcPr>
            <w:tcW w:w="1056" w:type="dxa"/>
            <w:shd w:val="clear" w:color="auto" w:fill="auto"/>
            <w:noWrap/>
            <w:vAlign w:val="center"/>
            <w:hideMark/>
          </w:tcPr>
          <w:p w14:paraId="5C1F7337"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3,580.38</w:t>
            </w:r>
          </w:p>
        </w:tc>
      </w:tr>
      <w:tr w:rsidR="008215A0" w:rsidRPr="00CD00FB" w14:paraId="24962A3E" w14:textId="77777777" w:rsidTr="00B27A98">
        <w:trPr>
          <w:trHeight w:val="300"/>
        </w:trPr>
        <w:tc>
          <w:tcPr>
            <w:tcW w:w="9017" w:type="dxa"/>
            <w:gridSpan w:val="6"/>
            <w:shd w:val="clear" w:color="000000" w:fill="FFFFFF"/>
            <w:noWrap/>
            <w:vAlign w:val="center"/>
            <w:hideMark/>
          </w:tcPr>
          <w:p w14:paraId="714FFC7D"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注：1.本表反映部门本年度的总收支和年末结转结余情况。</w:t>
            </w:r>
          </w:p>
        </w:tc>
      </w:tr>
      <w:tr w:rsidR="008215A0" w:rsidRPr="00CD00FB" w14:paraId="26056AE0" w14:textId="77777777" w:rsidTr="00B27A98">
        <w:trPr>
          <w:trHeight w:val="300"/>
        </w:trPr>
        <w:tc>
          <w:tcPr>
            <w:tcW w:w="9017" w:type="dxa"/>
            <w:gridSpan w:val="6"/>
            <w:shd w:val="clear" w:color="000000" w:fill="FFFFFF"/>
            <w:noWrap/>
            <w:vAlign w:val="center"/>
            <w:hideMark/>
          </w:tcPr>
          <w:p w14:paraId="2FDF567B"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 xml:space="preserve">    2.本套报表金额单位转换时可能存在尾数误差。</w:t>
            </w:r>
          </w:p>
        </w:tc>
      </w:tr>
    </w:tbl>
    <w:p w14:paraId="38E1E413" w14:textId="77777777" w:rsidR="008215A0" w:rsidRDefault="008215A0" w:rsidP="008215A0">
      <w:pPr>
        <w:widowControl/>
        <w:jc w:val="left"/>
        <w:rPr>
          <w:rFonts w:ascii="Times New Roman" w:hAnsi="Times New Roman" w:cs="Times New Roman"/>
          <w:kern w:val="0"/>
          <w:szCs w:val="21"/>
        </w:rPr>
      </w:pPr>
    </w:p>
    <w:p w14:paraId="4CF7786E" w14:textId="77777777" w:rsidR="008215A0" w:rsidRDefault="008215A0" w:rsidP="008215A0">
      <w:pPr>
        <w:jc w:val="center"/>
        <w:rPr>
          <w:noProof/>
        </w:rPr>
      </w:pPr>
      <w:r>
        <w:br w:type="page"/>
      </w:r>
      <w:r>
        <w:rPr>
          <w:rFonts w:ascii="黑体" w:eastAsia="黑体" w:hAnsi="黑体" w:hint="eastAsia"/>
          <w:sz w:val="32"/>
          <w:szCs w:val="32"/>
        </w:rPr>
        <w:lastRenderedPageBreak/>
        <w:t>收入决算表</w:t>
      </w:r>
    </w:p>
    <w:tbl>
      <w:tblPr>
        <w:tblW w:w="8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790"/>
        <w:gridCol w:w="1023"/>
        <w:gridCol w:w="1013"/>
        <w:gridCol w:w="634"/>
        <w:gridCol w:w="623"/>
        <w:gridCol w:w="620"/>
        <w:gridCol w:w="627"/>
        <w:gridCol w:w="798"/>
      </w:tblGrid>
      <w:tr w:rsidR="008215A0" w:rsidRPr="00CD00FB" w14:paraId="690EA38D" w14:textId="77777777" w:rsidTr="00B27A98">
        <w:trPr>
          <w:trHeight w:val="300"/>
        </w:trPr>
        <w:tc>
          <w:tcPr>
            <w:tcW w:w="2721" w:type="dxa"/>
            <w:gridSpan w:val="2"/>
            <w:shd w:val="clear" w:color="000000" w:fill="F1F1F1"/>
            <w:noWrap/>
            <w:vAlign w:val="center"/>
            <w:hideMark/>
          </w:tcPr>
          <w:p w14:paraId="4CD3F165"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项目</w:t>
            </w:r>
          </w:p>
        </w:tc>
        <w:tc>
          <w:tcPr>
            <w:tcW w:w="0" w:type="auto"/>
            <w:vMerge w:val="restart"/>
            <w:shd w:val="clear" w:color="000000" w:fill="F1F1F1"/>
            <w:vAlign w:val="center"/>
            <w:hideMark/>
          </w:tcPr>
          <w:p w14:paraId="79E09CEF"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本年收入合计</w:t>
            </w:r>
          </w:p>
        </w:tc>
        <w:tc>
          <w:tcPr>
            <w:tcW w:w="0" w:type="auto"/>
            <w:vMerge w:val="restart"/>
            <w:shd w:val="clear" w:color="000000" w:fill="F1F1F1"/>
            <w:vAlign w:val="center"/>
            <w:hideMark/>
          </w:tcPr>
          <w:p w14:paraId="38F17695"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财政拨款收入</w:t>
            </w:r>
          </w:p>
        </w:tc>
        <w:tc>
          <w:tcPr>
            <w:tcW w:w="0" w:type="auto"/>
            <w:vMerge w:val="restart"/>
            <w:shd w:val="clear" w:color="000000" w:fill="F1F1F1"/>
            <w:vAlign w:val="center"/>
            <w:hideMark/>
          </w:tcPr>
          <w:p w14:paraId="225F126A"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上级补助收入</w:t>
            </w:r>
          </w:p>
        </w:tc>
        <w:tc>
          <w:tcPr>
            <w:tcW w:w="0" w:type="auto"/>
            <w:vMerge w:val="restart"/>
            <w:shd w:val="clear" w:color="000000" w:fill="F1F1F1"/>
            <w:vAlign w:val="center"/>
            <w:hideMark/>
          </w:tcPr>
          <w:p w14:paraId="34522FA5"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事业收入</w:t>
            </w:r>
          </w:p>
        </w:tc>
        <w:tc>
          <w:tcPr>
            <w:tcW w:w="0" w:type="auto"/>
            <w:vMerge w:val="restart"/>
            <w:shd w:val="clear" w:color="000000" w:fill="F1F1F1"/>
            <w:vAlign w:val="center"/>
            <w:hideMark/>
          </w:tcPr>
          <w:p w14:paraId="4FFA9D30"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经营收入</w:t>
            </w:r>
          </w:p>
        </w:tc>
        <w:tc>
          <w:tcPr>
            <w:tcW w:w="0" w:type="auto"/>
            <w:vMerge w:val="restart"/>
            <w:shd w:val="clear" w:color="000000" w:fill="F1F1F1"/>
            <w:vAlign w:val="center"/>
            <w:hideMark/>
          </w:tcPr>
          <w:p w14:paraId="5C6D28E1"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附属单位上缴收入</w:t>
            </w:r>
          </w:p>
        </w:tc>
        <w:tc>
          <w:tcPr>
            <w:tcW w:w="0" w:type="auto"/>
            <w:vMerge w:val="restart"/>
            <w:shd w:val="clear" w:color="000000" w:fill="F1F1F1"/>
            <w:vAlign w:val="center"/>
            <w:hideMark/>
          </w:tcPr>
          <w:p w14:paraId="62C635E6"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其他收入</w:t>
            </w:r>
          </w:p>
        </w:tc>
      </w:tr>
      <w:tr w:rsidR="008215A0" w:rsidRPr="00CD00FB" w14:paraId="09ADEDAC" w14:textId="77777777" w:rsidTr="00B27A98">
        <w:trPr>
          <w:trHeight w:val="315"/>
        </w:trPr>
        <w:tc>
          <w:tcPr>
            <w:tcW w:w="0" w:type="auto"/>
            <w:vMerge w:val="restart"/>
            <w:shd w:val="clear" w:color="000000" w:fill="F1F1F1"/>
            <w:vAlign w:val="center"/>
            <w:hideMark/>
          </w:tcPr>
          <w:p w14:paraId="71A540BF"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科目代码</w:t>
            </w:r>
          </w:p>
        </w:tc>
        <w:tc>
          <w:tcPr>
            <w:tcW w:w="1790" w:type="dxa"/>
            <w:vMerge w:val="restart"/>
            <w:shd w:val="clear" w:color="000000" w:fill="F1F1F1"/>
            <w:noWrap/>
            <w:vAlign w:val="center"/>
            <w:hideMark/>
          </w:tcPr>
          <w:p w14:paraId="6BB1C822"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科目名称</w:t>
            </w:r>
          </w:p>
        </w:tc>
        <w:tc>
          <w:tcPr>
            <w:tcW w:w="0" w:type="auto"/>
            <w:vMerge/>
            <w:vAlign w:val="center"/>
            <w:hideMark/>
          </w:tcPr>
          <w:p w14:paraId="1E57BE29"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2726DD79"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190B35BD"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5E1951C6"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0C630907"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4E5DFAD4"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066C7415" w14:textId="77777777" w:rsidR="008215A0" w:rsidRPr="00CD00FB" w:rsidRDefault="008215A0" w:rsidP="00B27A98">
            <w:pPr>
              <w:widowControl/>
              <w:jc w:val="left"/>
              <w:rPr>
                <w:rFonts w:ascii="宋体" w:hAnsi="宋体" w:cs="宋体"/>
                <w:color w:val="000000"/>
                <w:kern w:val="0"/>
                <w:sz w:val="18"/>
                <w:szCs w:val="18"/>
              </w:rPr>
            </w:pPr>
          </w:p>
        </w:tc>
      </w:tr>
      <w:tr w:rsidR="008215A0" w:rsidRPr="00CD00FB" w14:paraId="57A7A0F0" w14:textId="77777777" w:rsidTr="00B27A98">
        <w:trPr>
          <w:trHeight w:val="315"/>
        </w:trPr>
        <w:tc>
          <w:tcPr>
            <w:tcW w:w="0" w:type="auto"/>
            <w:vMerge/>
            <w:vAlign w:val="center"/>
            <w:hideMark/>
          </w:tcPr>
          <w:p w14:paraId="7083A11E" w14:textId="77777777" w:rsidR="008215A0" w:rsidRPr="00CD00FB" w:rsidRDefault="008215A0" w:rsidP="00B27A98">
            <w:pPr>
              <w:widowControl/>
              <w:jc w:val="left"/>
              <w:rPr>
                <w:rFonts w:ascii="宋体" w:hAnsi="宋体" w:cs="宋体"/>
                <w:color w:val="000000"/>
                <w:kern w:val="0"/>
                <w:sz w:val="18"/>
                <w:szCs w:val="18"/>
              </w:rPr>
            </w:pPr>
          </w:p>
        </w:tc>
        <w:tc>
          <w:tcPr>
            <w:tcW w:w="1790" w:type="dxa"/>
            <w:vMerge/>
            <w:vAlign w:val="center"/>
            <w:hideMark/>
          </w:tcPr>
          <w:p w14:paraId="04C9009A"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2E28BB6F"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6BAB6099"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28A5AE2B"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77176057"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56D7D6B3"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31547CDA"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11467949" w14:textId="77777777" w:rsidR="008215A0" w:rsidRPr="00CD00FB" w:rsidRDefault="008215A0" w:rsidP="00B27A98">
            <w:pPr>
              <w:widowControl/>
              <w:jc w:val="left"/>
              <w:rPr>
                <w:rFonts w:ascii="宋体" w:hAnsi="宋体" w:cs="宋体"/>
                <w:color w:val="000000"/>
                <w:kern w:val="0"/>
                <w:sz w:val="18"/>
                <w:szCs w:val="18"/>
              </w:rPr>
            </w:pPr>
          </w:p>
        </w:tc>
      </w:tr>
      <w:tr w:rsidR="008215A0" w:rsidRPr="00CD00FB" w14:paraId="4245F314" w14:textId="77777777" w:rsidTr="00B27A98">
        <w:trPr>
          <w:trHeight w:val="315"/>
        </w:trPr>
        <w:tc>
          <w:tcPr>
            <w:tcW w:w="0" w:type="auto"/>
            <w:vMerge/>
            <w:vAlign w:val="center"/>
            <w:hideMark/>
          </w:tcPr>
          <w:p w14:paraId="54D5F299" w14:textId="77777777" w:rsidR="008215A0" w:rsidRPr="00CD00FB" w:rsidRDefault="008215A0" w:rsidP="00B27A98">
            <w:pPr>
              <w:widowControl/>
              <w:jc w:val="left"/>
              <w:rPr>
                <w:rFonts w:ascii="宋体" w:hAnsi="宋体" w:cs="宋体"/>
                <w:color w:val="000000"/>
                <w:kern w:val="0"/>
                <w:sz w:val="18"/>
                <w:szCs w:val="18"/>
              </w:rPr>
            </w:pPr>
          </w:p>
        </w:tc>
        <w:tc>
          <w:tcPr>
            <w:tcW w:w="1790" w:type="dxa"/>
            <w:vMerge/>
            <w:vAlign w:val="center"/>
            <w:hideMark/>
          </w:tcPr>
          <w:p w14:paraId="2EC8C880"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67C0A612"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64AFFCFE"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4E899129"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0E92B986"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2DE4052D"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1FA74B5E"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70031B94" w14:textId="77777777" w:rsidR="008215A0" w:rsidRPr="00CD00FB" w:rsidRDefault="008215A0" w:rsidP="00B27A98">
            <w:pPr>
              <w:widowControl/>
              <w:jc w:val="left"/>
              <w:rPr>
                <w:rFonts w:ascii="宋体" w:hAnsi="宋体" w:cs="宋体"/>
                <w:color w:val="000000"/>
                <w:kern w:val="0"/>
                <w:sz w:val="18"/>
                <w:szCs w:val="18"/>
              </w:rPr>
            </w:pPr>
          </w:p>
        </w:tc>
      </w:tr>
      <w:tr w:rsidR="008215A0" w:rsidRPr="00CD00FB" w14:paraId="042D90D1" w14:textId="77777777" w:rsidTr="00B27A98">
        <w:trPr>
          <w:trHeight w:val="300"/>
        </w:trPr>
        <w:tc>
          <w:tcPr>
            <w:tcW w:w="2721" w:type="dxa"/>
            <w:gridSpan w:val="2"/>
            <w:shd w:val="clear" w:color="000000" w:fill="F1F1F1"/>
            <w:noWrap/>
            <w:vAlign w:val="center"/>
            <w:hideMark/>
          </w:tcPr>
          <w:p w14:paraId="108B18EA"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栏次</w:t>
            </w:r>
          </w:p>
        </w:tc>
        <w:tc>
          <w:tcPr>
            <w:tcW w:w="0" w:type="auto"/>
            <w:shd w:val="clear" w:color="000000" w:fill="F1F1F1"/>
            <w:vAlign w:val="center"/>
            <w:hideMark/>
          </w:tcPr>
          <w:p w14:paraId="434789E5"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1</w:t>
            </w:r>
          </w:p>
        </w:tc>
        <w:tc>
          <w:tcPr>
            <w:tcW w:w="0" w:type="auto"/>
            <w:shd w:val="clear" w:color="000000" w:fill="F1F1F1"/>
            <w:vAlign w:val="center"/>
            <w:hideMark/>
          </w:tcPr>
          <w:p w14:paraId="2A81FB92"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2</w:t>
            </w:r>
          </w:p>
        </w:tc>
        <w:tc>
          <w:tcPr>
            <w:tcW w:w="0" w:type="auto"/>
            <w:shd w:val="clear" w:color="000000" w:fill="F1F1F1"/>
            <w:vAlign w:val="center"/>
            <w:hideMark/>
          </w:tcPr>
          <w:p w14:paraId="579CE0A9"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3</w:t>
            </w:r>
          </w:p>
        </w:tc>
        <w:tc>
          <w:tcPr>
            <w:tcW w:w="0" w:type="auto"/>
            <w:shd w:val="clear" w:color="000000" w:fill="F1F1F1"/>
            <w:vAlign w:val="center"/>
            <w:hideMark/>
          </w:tcPr>
          <w:p w14:paraId="38639E51"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4</w:t>
            </w:r>
          </w:p>
        </w:tc>
        <w:tc>
          <w:tcPr>
            <w:tcW w:w="0" w:type="auto"/>
            <w:shd w:val="clear" w:color="000000" w:fill="F1F1F1"/>
            <w:vAlign w:val="center"/>
            <w:hideMark/>
          </w:tcPr>
          <w:p w14:paraId="60BD6AFB"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5</w:t>
            </w:r>
          </w:p>
        </w:tc>
        <w:tc>
          <w:tcPr>
            <w:tcW w:w="0" w:type="auto"/>
            <w:shd w:val="clear" w:color="000000" w:fill="F1F1F1"/>
            <w:vAlign w:val="center"/>
            <w:hideMark/>
          </w:tcPr>
          <w:p w14:paraId="5DBE0C0E"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6</w:t>
            </w:r>
          </w:p>
        </w:tc>
        <w:tc>
          <w:tcPr>
            <w:tcW w:w="0" w:type="auto"/>
            <w:shd w:val="clear" w:color="000000" w:fill="F1F1F1"/>
            <w:vAlign w:val="center"/>
            <w:hideMark/>
          </w:tcPr>
          <w:p w14:paraId="5EE14C00"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7</w:t>
            </w:r>
          </w:p>
        </w:tc>
      </w:tr>
      <w:tr w:rsidR="008215A0" w:rsidRPr="00CD00FB" w14:paraId="7A75B235" w14:textId="77777777" w:rsidTr="00B27A98">
        <w:trPr>
          <w:trHeight w:val="300"/>
        </w:trPr>
        <w:tc>
          <w:tcPr>
            <w:tcW w:w="2721" w:type="dxa"/>
            <w:gridSpan w:val="2"/>
            <w:shd w:val="clear" w:color="000000" w:fill="F1F1F1"/>
            <w:noWrap/>
            <w:vAlign w:val="center"/>
            <w:hideMark/>
          </w:tcPr>
          <w:p w14:paraId="63195C38"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合计</w:t>
            </w:r>
          </w:p>
        </w:tc>
        <w:tc>
          <w:tcPr>
            <w:tcW w:w="0" w:type="auto"/>
            <w:shd w:val="clear" w:color="000000" w:fill="FFFFFF"/>
            <w:noWrap/>
            <w:vAlign w:val="center"/>
            <w:hideMark/>
          </w:tcPr>
          <w:p w14:paraId="5EF3B652"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3,371.54</w:t>
            </w:r>
          </w:p>
        </w:tc>
        <w:tc>
          <w:tcPr>
            <w:tcW w:w="0" w:type="auto"/>
            <w:shd w:val="clear" w:color="000000" w:fill="FFFFFF"/>
            <w:noWrap/>
            <w:vAlign w:val="center"/>
            <w:hideMark/>
          </w:tcPr>
          <w:p w14:paraId="46A649CC"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3,255.42</w:t>
            </w:r>
          </w:p>
        </w:tc>
        <w:tc>
          <w:tcPr>
            <w:tcW w:w="0" w:type="auto"/>
            <w:shd w:val="clear" w:color="000000" w:fill="FFFFFF"/>
            <w:noWrap/>
            <w:vAlign w:val="center"/>
            <w:hideMark/>
          </w:tcPr>
          <w:p w14:paraId="7469E110"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1CEC075E"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25E371FF"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21991D1A"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09FE43A4"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116.13</w:t>
            </w:r>
          </w:p>
        </w:tc>
      </w:tr>
      <w:tr w:rsidR="008215A0" w:rsidRPr="00CD00FB" w14:paraId="590CF2AE" w14:textId="77777777" w:rsidTr="00B27A98">
        <w:trPr>
          <w:trHeight w:val="300"/>
        </w:trPr>
        <w:tc>
          <w:tcPr>
            <w:tcW w:w="0" w:type="auto"/>
            <w:shd w:val="clear" w:color="000000" w:fill="FFFFFF"/>
            <w:noWrap/>
            <w:vAlign w:val="center"/>
            <w:hideMark/>
          </w:tcPr>
          <w:p w14:paraId="10428DF9"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2010401</w:t>
            </w:r>
          </w:p>
        </w:tc>
        <w:tc>
          <w:tcPr>
            <w:tcW w:w="1790" w:type="dxa"/>
            <w:shd w:val="clear" w:color="000000" w:fill="FFFFFF"/>
            <w:noWrap/>
            <w:vAlign w:val="center"/>
            <w:hideMark/>
          </w:tcPr>
          <w:p w14:paraId="644D4087"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行政运行</w:t>
            </w:r>
          </w:p>
        </w:tc>
        <w:tc>
          <w:tcPr>
            <w:tcW w:w="0" w:type="auto"/>
            <w:shd w:val="clear" w:color="000000" w:fill="FFFFFF"/>
            <w:noWrap/>
            <w:vAlign w:val="center"/>
            <w:hideMark/>
          </w:tcPr>
          <w:p w14:paraId="02B1684B"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1,192.63</w:t>
            </w:r>
          </w:p>
        </w:tc>
        <w:tc>
          <w:tcPr>
            <w:tcW w:w="0" w:type="auto"/>
            <w:shd w:val="clear" w:color="000000" w:fill="FFFFFF"/>
            <w:noWrap/>
            <w:vAlign w:val="center"/>
            <w:hideMark/>
          </w:tcPr>
          <w:p w14:paraId="6AFAB247"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1,192.63</w:t>
            </w:r>
          </w:p>
        </w:tc>
        <w:tc>
          <w:tcPr>
            <w:tcW w:w="0" w:type="auto"/>
            <w:shd w:val="clear" w:color="000000" w:fill="FFFFFF"/>
            <w:noWrap/>
            <w:vAlign w:val="center"/>
            <w:hideMark/>
          </w:tcPr>
          <w:p w14:paraId="2E962E01"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526FAF9C"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21B0C5F2"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15A69954"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3354D8C6"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r>
      <w:tr w:rsidR="008215A0" w:rsidRPr="00CD00FB" w14:paraId="116E3AEF" w14:textId="77777777" w:rsidTr="00B27A98">
        <w:trPr>
          <w:trHeight w:val="300"/>
        </w:trPr>
        <w:tc>
          <w:tcPr>
            <w:tcW w:w="0" w:type="auto"/>
            <w:shd w:val="clear" w:color="000000" w:fill="FFFFFF"/>
            <w:noWrap/>
            <w:vAlign w:val="center"/>
            <w:hideMark/>
          </w:tcPr>
          <w:p w14:paraId="60C6D360"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2010402</w:t>
            </w:r>
          </w:p>
        </w:tc>
        <w:tc>
          <w:tcPr>
            <w:tcW w:w="1790" w:type="dxa"/>
            <w:shd w:val="clear" w:color="000000" w:fill="FFFFFF"/>
            <w:noWrap/>
            <w:vAlign w:val="center"/>
            <w:hideMark/>
          </w:tcPr>
          <w:p w14:paraId="46A805BB"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一般行政管理事务</w:t>
            </w:r>
          </w:p>
        </w:tc>
        <w:tc>
          <w:tcPr>
            <w:tcW w:w="0" w:type="auto"/>
            <w:shd w:val="clear" w:color="000000" w:fill="FFFFFF"/>
            <w:noWrap/>
            <w:vAlign w:val="center"/>
            <w:hideMark/>
          </w:tcPr>
          <w:p w14:paraId="36F0BA70"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50.00</w:t>
            </w:r>
          </w:p>
        </w:tc>
        <w:tc>
          <w:tcPr>
            <w:tcW w:w="0" w:type="auto"/>
            <w:shd w:val="clear" w:color="000000" w:fill="FFFFFF"/>
            <w:noWrap/>
            <w:vAlign w:val="center"/>
            <w:hideMark/>
          </w:tcPr>
          <w:p w14:paraId="4C2D3CEB"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50.00</w:t>
            </w:r>
          </w:p>
        </w:tc>
        <w:tc>
          <w:tcPr>
            <w:tcW w:w="0" w:type="auto"/>
            <w:shd w:val="clear" w:color="000000" w:fill="FFFFFF"/>
            <w:noWrap/>
            <w:vAlign w:val="center"/>
            <w:hideMark/>
          </w:tcPr>
          <w:p w14:paraId="7E86E23A"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17A1C9A1"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34C0D106"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641F9B1C"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2B8E6966"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r>
      <w:tr w:rsidR="008215A0" w:rsidRPr="00CD00FB" w14:paraId="166200B4" w14:textId="77777777" w:rsidTr="00B27A98">
        <w:trPr>
          <w:trHeight w:val="300"/>
        </w:trPr>
        <w:tc>
          <w:tcPr>
            <w:tcW w:w="0" w:type="auto"/>
            <w:shd w:val="clear" w:color="000000" w:fill="FFFFFF"/>
            <w:noWrap/>
            <w:vAlign w:val="center"/>
            <w:hideMark/>
          </w:tcPr>
          <w:p w14:paraId="4CD7A43C"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2010403</w:t>
            </w:r>
          </w:p>
        </w:tc>
        <w:tc>
          <w:tcPr>
            <w:tcW w:w="1790" w:type="dxa"/>
            <w:shd w:val="clear" w:color="000000" w:fill="FFFFFF"/>
            <w:noWrap/>
            <w:vAlign w:val="center"/>
            <w:hideMark/>
          </w:tcPr>
          <w:p w14:paraId="07C48198"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机关服务</w:t>
            </w:r>
          </w:p>
        </w:tc>
        <w:tc>
          <w:tcPr>
            <w:tcW w:w="0" w:type="auto"/>
            <w:shd w:val="clear" w:color="000000" w:fill="FFFFFF"/>
            <w:noWrap/>
            <w:vAlign w:val="center"/>
            <w:hideMark/>
          </w:tcPr>
          <w:p w14:paraId="18AC57FF"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116.13</w:t>
            </w:r>
          </w:p>
        </w:tc>
        <w:tc>
          <w:tcPr>
            <w:tcW w:w="0" w:type="auto"/>
            <w:shd w:val="clear" w:color="000000" w:fill="FFFFFF"/>
            <w:noWrap/>
            <w:vAlign w:val="center"/>
            <w:hideMark/>
          </w:tcPr>
          <w:p w14:paraId="26B898D2"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12CB7933"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22F542E4"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3613E27F"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33E4E86C"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6FB5393E"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116.13</w:t>
            </w:r>
          </w:p>
        </w:tc>
      </w:tr>
      <w:tr w:rsidR="008215A0" w:rsidRPr="00CD00FB" w14:paraId="613F1893" w14:textId="77777777" w:rsidTr="00B27A98">
        <w:trPr>
          <w:trHeight w:val="300"/>
        </w:trPr>
        <w:tc>
          <w:tcPr>
            <w:tcW w:w="0" w:type="auto"/>
            <w:shd w:val="clear" w:color="000000" w:fill="FFFFFF"/>
            <w:noWrap/>
            <w:vAlign w:val="center"/>
            <w:hideMark/>
          </w:tcPr>
          <w:p w14:paraId="48C1B290"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2011308</w:t>
            </w:r>
          </w:p>
        </w:tc>
        <w:tc>
          <w:tcPr>
            <w:tcW w:w="1790" w:type="dxa"/>
            <w:shd w:val="clear" w:color="000000" w:fill="FFFFFF"/>
            <w:noWrap/>
            <w:vAlign w:val="center"/>
            <w:hideMark/>
          </w:tcPr>
          <w:p w14:paraId="49EC087E"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招商引资</w:t>
            </w:r>
          </w:p>
        </w:tc>
        <w:tc>
          <w:tcPr>
            <w:tcW w:w="0" w:type="auto"/>
            <w:shd w:val="clear" w:color="000000" w:fill="FFFFFF"/>
            <w:noWrap/>
            <w:vAlign w:val="center"/>
            <w:hideMark/>
          </w:tcPr>
          <w:p w14:paraId="7F0E9CDE"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0.77</w:t>
            </w:r>
          </w:p>
        </w:tc>
        <w:tc>
          <w:tcPr>
            <w:tcW w:w="0" w:type="auto"/>
            <w:shd w:val="clear" w:color="000000" w:fill="FFFFFF"/>
            <w:noWrap/>
            <w:vAlign w:val="center"/>
            <w:hideMark/>
          </w:tcPr>
          <w:p w14:paraId="6EA4DB58"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0.77</w:t>
            </w:r>
          </w:p>
        </w:tc>
        <w:tc>
          <w:tcPr>
            <w:tcW w:w="0" w:type="auto"/>
            <w:shd w:val="clear" w:color="000000" w:fill="FFFFFF"/>
            <w:noWrap/>
            <w:vAlign w:val="center"/>
            <w:hideMark/>
          </w:tcPr>
          <w:p w14:paraId="457FB1FC"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4EDBE37E"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64B33588"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4A199DAA"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53C254E1"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r>
      <w:tr w:rsidR="008215A0" w:rsidRPr="00CD00FB" w14:paraId="5CE488C9" w14:textId="77777777" w:rsidTr="00B27A98">
        <w:trPr>
          <w:trHeight w:val="300"/>
        </w:trPr>
        <w:tc>
          <w:tcPr>
            <w:tcW w:w="0" w:type="auto"/>
            <w:shd w:val="clear" w:color="000000" w:fill="FFFFFF"/>
            <w:noWrap/>
            <w:vAlign w:val="center"/>
            <w:hideMark/>
          </w:tcPr>
          <w:p w14:paraId="4C9E9B44"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2080501</w:t>
            </w:r>
          </w:p>
        </w:tc>
        <w:tc>
          <w:tcPr>
            <w:tcW w:w="1790" w:type="dxa"/>
            <w:shd w:val="clear" w:color="000000" w:fill="FFFFFF"/>
            <w:noWrap/>
            <w:vAlign w:val="center"/>
            <w:hideMark/>
          </w:tcPr>
          <w:p w14:paraId="7BB74DB3"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行政单位离退休</w:t>
            </w:r>
          </w:p>
        </w:tc>
        <w:tc>
          <w:tcPr>
            <w:tcW w:w="0" w:type="auto"/>
            <w:shd w:val="clear" w:color="000000" w:fill="FFFFFF"/>
            <w:noWrap/>
            <w:vAlign w:val="center"/>
            <w:hideMark/>
          </w:tcPr>
          <w:p w14:paraId="422CCF9A"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23.85</w:t>
            </w:r>
          </w:p>
        </w:tc>
        <w:tc>
          <w:tcPr>
            <w:tcW w:w="0" w:type="auto"/>
            <w:shd w:val="clear" w:color="000000" w:fill="FFFFFF"/>
            <w:noWrap/>
            <w:vAlign w:val="center"/>
            <w:hideMark/>
          </w:tcPr>
          <w:p w14:paraId="4C251F49"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23.85</w:t>
            </w:r>
          </w:p>
        </w:tc>
        <w:tc>
          <w:tcPr>
            <w:tcW w:w="0" w:type="auto"/>
            <w:shd w:val="clear" w:color="000000" w:fill="FFFFFF"/>
            <w:noWrap/>
            <w:vAlign w:val="center"/>
            <w:hideMark/>
          </w:tcPr>
          <w:p w14:paraId="472E1347"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4DA669E0"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0438A379"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0BE41E6B"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496FB0F5"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r>
      <w:tr w:rsidR="008215A0" w:rsidRPr="00CD00FB" w14:paraId="03973522" w14:textId="77777777" w:rsidTr="00B27A98">
        <w:trPr>
          <w:trHeight w:val="300"/>
        </w:trPr>
        <w:tc>
          <w:tcPr>
            <w:tcW w:w="0" w:type="auto"/>
            <w:shd w:val="clear" w:color="000000" w:fill="FFFFFF"/>
            <w:noWrap/>
            <w:vAlign w:val="center"/>
            <w:hideMark/>
          </w:tcPr>
          <w:p w14:paraId="4660626F"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2080505</w:t>
            </w:r>
          </w:p>
        </w:tc>
        <w:tc>
          <w:tcPr>
            <w:tcW w:w="1790" w:type="dxa"/>
            <w:shd w:val="clear" w:color="000000" w:fill="FFFFFF"/>
            <w:noWrap/>
            <w:vAlign w:val="center"/>
            <w:hideMark/>
          </w:tcPr>
          <w:p w14:paraId="7AAD06E0"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机关事业单位基本养老保险缴费支出</w:t>
            </w:r>
          </w:p>
        </w:tc>
        <w:tc>
          <w:tcPr>
            <w:tcW w:w="0" w:type="auto"/>
            <w:shd w:val="clear" w:color="000000" w:fill="FFFFFF"/>
            <w:noWrap/>
            <w:vAlign w:val="center"/>
            <w:hideMark/>
          </w:tcPr>
          <w:p w14:paraId="5AEDB550"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152.56</w:t>
            </w:r>
          </w:p>
        </w:tc>
        <w:tc>
          <w:tcPr>
            <w:tcW w:w="0" w:type="auto"/>
            <w:shd w:val="clear" w:color="000000" w:fill="FFFFFF"/>
            <w:noWrap/>
            <w:vAlign w:val="center"/>
            <w:hideMark/>
          </w:tcPr>
          <w:p w14:paraId="6C51944D"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152.56</w:t>
            </w:r>
          </w:p>
        </w:tc>
        <w:tc>
          <w:tcPr>
            <w:tcW w:w="0" w:type="auto"/>
            <w:shd w:val="clear" w:color="000000" w:fill="FFFFFF"/>
            <w:noWrap/>
            <w:vAlign w:val="center"/>
            <w:hideMark/>
          </w:tcPr>
          <w:p w14:paraId="10B350CD"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4A2F81A5"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1B8D611F"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19D3B55C"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69E14EC1"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r>
      <w:tr w:rsidR="008215A0" w:rsidRPr="00CD00FB" w14:paraId="3D6B3021" w14:textId="77777777" w:rsidTr="00B27A98">
        <w:trPr>
          <w:trHeight w:val="300"/>
        </w:trPr>
        <w:tc>
          <w:tcPr>
            <w:tcW w:w="0" w:type="auto"/>
            <w:shd w:val="clear" w:color="000000" w:fill="FFFFFF"/>
            <w:noWrap/>
            <w:vAlign w:val="center"/>
            <w:hideMark/>
          </w:tcPr>
          <w:p w14:paraId="5ADE05DC"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2080506</w:t>
            </w:r>
          </w:p>
        </w:tc>
        <w:tc>
          <w:tcPr>
            <w:tcW w:w="1790" w:type="dxa"/>
            <w:shd w:val="clear" w:color="000000" w:fill="FFFFFF"/>
            <w:noWrap/>
            <w:vAlign w:val="center"/>
            <w:hideMark/>
          </w:tcPr>
          <w:p w14:paraId="12939EB8"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机关事业单位职业年金缴费支出</w:t>
            </w:r>
          </w:p>
        </w:tc>
        <w:tc>
          <w:tcPr>
            <w:tcW w:w="0" w:type="auto"/>
            <w:shd w:val="clear" w:color="000000" w:fill="FFFFFF"/>
            <w:noWrap/>
            <w:vAlign w:val="center"/>
            <w:hideMark/>
          </w:tcPr>
          <w:p w14:paraId="443CAB7F"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76.28</w:t>
            </w:r>
          </w:p>
        </w:tc>
        <w:tc>
          <w:tcPr>
            <w:tcW w:w="0" w:type="auto"/>
            <w:shd w:val="clear" w:color="000000" w:fill="FFFFFF"/>
            <w:noWrap/>
            <w:vAlign w:val="center"/>
            <w:hideMark/>
          </w:tcPr>
          <w:p w14:paraId="668BF8E2"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76.28</w:t>
            </w:r>
          </w:p>
        </w:tc>
        <w:tc>
          <w:tcPr>
            <w:tcW w:w="0" w:type="auto"/>
            <w:shd w:val="clear" w:color="000000" w:fill="FFFFFF"/>
            <w:noWrap/>
            <w:vAlign w:val="center"/>
            <w:hideMark/>
          </w:tcPr>
          <w:p w14:paraId="22D7D676"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4D4B36F9"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5988BA95"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6D6AD4F2"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36783A8E"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r>
      <w:tr w:rsidR="008215A0" w:rsidRPr="00CD00FB" w14:paraId="06508D47" w14:textId="77777777" w:rsidTr="00B27A98">
        <w:trPr>
          <w:trHeight w:val="300"/>
        </w:trPr>
        <w:tc>
          <w:tcPr>
            <w:tcW w:w="0" w:type="auto"/>
            <w:shd w:val="clear" w:color="000000" w:fill="FFFFFF"/>
            <w:noWrap/>
            <w:vAlign w:val="center"/>
            <w:hideMark/>
          </w:tcPr>
          <w:p w14:paraId="542233F5"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2080711</w:t>
            </w:r>
          </w:p>
        </w:tc>
        <w:tc>
          <w:tcPr>
            <w:tcW w:w="1790" w:type="dxa"/>
            <w:shd w:val="clear" w:color="000000" w:fill="FFFFFF"/>
            <w:noWrap/>
            <w:vAlign w:val="center"/>
            <w:hideMark/>
          </w:tcPr>
          <w:p w14:paraId="3F303344"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就业见习补贴</w:t>
            </w:r>
          </w:p>
        </w:tc>
        <w:tc>
          <w:tcPr>
            <w:tcW w:w="0" w:type="auto"/>
            <w:shd w:val="clear" w:color="000000" w:fill="FFFFFF"/>
            <w:noWrap/>
            <w:vAlign w:val="center"/>
            <w:hideMark/>
          </w:tcPr>
          <w:p w14:paraId="372B9BCF"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8.64</w:t>
            </w:r>
          </w:p>
        </w:tc>
        <w:tc>
          <w:tcPr>
            <w:tcW w:w="0" w:type="auto"/>
            <w:shd w:val="clear" w:color="000000" w:fill="FFFFFF"/>
            <w:noWrap/>
            <w:vAlign w:val="center"/>
            <w:hideMark/>
          </w:tcPr>
          <w:p w14:paraId="1F052174"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8.64</w:t>
            </w:r>
          </w:p>
        </w:tc>
        <w:tc>
          <w:tcPr>
            <w:tcW w:w="0" w:type="auto"/>
            <w:shd w:val="clear" w:color="000000" w:fill="FFFFFF"/>
            <w:noWrap/>
            <w:vAlign w:val="center"/>
            <w:hideMark/>
          </w:tcPr>
          <w:p w14:paraId="22E11D09"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31239718"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3D684FBB"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65C794DE"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34A703FB"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r>
      <w:tr w:rsidR="008215A0" w:rsidRPr="00CD00FB" w14:paraId="5C989704" w14:textId="77777777" w:rsidTr="00B27A98">
        <w:trPr>
          <w:trHeight w:val="300"/>
        </w:trPr>
        <w:tc>
          <w:tcPr>
            <w:tcW w:w="0" w:type="auto"/>
            <w:shd w:val="clear" w:color="000000" w:fill="FFFFFF"/>
            <w:noWrap/>
            <w:vAlign w:val="center"/>
            <w:hideMark/>
          </w:tcPr>
          <w:p w14:paraId="5B488F25"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2101101</w:t>
            </w:r>
          </w:p>
        </w:tc>
        <w:tc>
          <w:tcPr>
            <w:tcW w:w="1790" w:type="dxa"/>
            <w:shd w:val="clear" w:color="000000" w:fill="FFFFFF"/>
            <w:noWrap/>
            <w:vAlign w:val="center"/>
            <w:hideMark/>
          </w:tcPr>
          <w:p w14:paraId="09A85AAF"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行政单位医疗</w:t>
            </w:r>
          </w:p>
        </w:tc>
        <w:tc>
          <w:tcPr>
            <w:tcW w:w="0" w:type="auto"/>
            <w:shd w:val="clear" w:color="000000" w:fill="FFFFFF"/>
            <w:noWrap/>
            <w:vAlign w:val="center"/>
            <w:hideMark/>
          </w:tcPr>
          <w:p w14:paraId="1AAB8FB1"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53.74</w:t>
            </w:r>
          </w:p>
        </w:tc>
        <w:tc>
          <w:tcPr>
            <w:tcW w:w="0" w:type="auto"/>
            <w:shd w:val="clear" w:color="000000" w:fill="FFFFFF"/>
            <w:noWrap/>
            <w:vAlign w:val="center"/>
            <w:hideMark/>
          </w:tcPr>
          <w:p w14:paraId="42B441E8"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53.74</w:t>
            </w:r>
          </w:p>
        </w:tc>
        <w:tc>
          <w:tcPr>
            <w:tcW w:w="0" w:type="auto"/>
            <w:shd w:val="clear" w:color="000000" w:fill="FFFFFF"/>
            <w:noWrap/>
            <w:vAlign w:val="center"/>
            <w:hideMark/>
          </w:tcPr>
          <w:p w14:paraId="18513B7F"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7F644549"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44C2ECAB"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04FE2C60"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25F90098"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r>
      <w:tr w:rsidR="008215A0" w:rsidRPr="00CD00FB" w14:paraId="034F807B" w14:textId="77777777" w:rsidTr="00B27A98">
        <w:trPr>
          <w:trHeight w:val="300"/>
        </w:trPr>
        <w:tc>
          <w:tcPr>
            <w:tcW w:w="0" w:type="auto"/>
            <w:shd w:val="clear" w:color="000000" w:fill="FFFFFF"/>
            <w:noWrap/>
            <w:vAlign w:val="center"/>
            <w:hideMark/>
          </w:tcPr>
          <w:p w14:paraId="64E65F73"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2210201</w:t>
            </w:r>
          </w:p>
        </w:tc>
        <w:tc>
          <w:tcPr>
            <w:tcW w:w="1790" w:type="dxa"/>
            <w:shd w:val="clear" w:color="000000" w:fill="FFFFFF"/>
            <w:noWrap/>
            <w:vAlign w:val="center"/>
            <w:hideMark/>
          </w:tcPr>
          <w:p w14:paraId="74E8A74D"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住房公积金</w:t>
            </w:r>
          </w:p>
        </w:tc>
        <w:tc>
          <w:tcPr>
            <w:tcW w:w="0" w:type="auto"/>
            <w:shd w:val="clear" w:color="000000" w:fill="FFFFFF"/>
            <w:noWrap/>
            <w:vAlign w:val="center"/>
            <w:hideMark/>
          </w:tcPr>
          <w:p w14:paraId="1C671DBA"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124.12</w:t>
            </w:r>
          </w:p>
        </w:tc>
        <w:tc>
          <w:tcPr>
            <w:tcW w:w="0" w:type="auto"/>
            <w:shd w:val="clear" w:color="000000" w:fill="FFFFFF"/>
            <w:noWrap/>
            <w:vAlign w:val="center"/>
            <w:hideMark/>
          </w:tcPr>
          <w:p w14:paraId="3AEC19A6"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124.12</w:t>
            </w:r>
          </w:p>
        </w:tc>
        <w:tc>
          <w:tcPr>
            <w:tcW w:w="0" w:type="auto"/>
            <w:shd w:val="clear" w:color="000000" w:fill="FFFFFF"/>
            <w:noWrap/>
            <w:vAlign w:val="center"/>
            <w:hideMark/>
          </w:tcPr>
          <w:p w14:paraId="0EA0CE2C"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4A1231CB"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370D2159"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0DC51CB1"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5DEA5F1B"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r>
      <w:tr w:rsidR="008215A0" w:rsidRPr="00CD00FB" w14:paraId="24C307F0" w14:textId="77777777" w:rsidTr="00B27A98">
        <w:trPr>
          <w:trHeight w:val="300"/>
        </w:trPr>
        <w:tc>
          <w:tcPr>
            <w:tcW w:w="0" w:type="auto"/>
            <w:shd w:val="clear" w:color="000000" w:fill="FFFFFF"/>
            <w:noWrap/>
            <w:vAlign w:val="center"/>
            <w:hideMark/>
          </w:tcPr>
          <w:p w14:paraId="1C0090DA"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2220106</w:t>
            </w:r>
          </w:p>
        </w:tc>
        <w:tc>
          <w:tcPr>
            <w:tcW w:w="1790" w:type="dxa"/>
            <w:shd w:val="clear" w:color="000000" w:fill="FFFFFF"/>
            <w:noWrap/>
            <w:vAlign w:val="center"/>
            <w:hideMark/>
          </w:tcPr>
          <w:p w14:paraId="5CC1CE71"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专项业务活动</w:t>
            </w:r>
          </w:p>
        </w:tc>
        <w:tc>
          <w:tcPr>
            <w:tcW w:w="0" w:type="auto"/>
            <w:shd w:val="clear" w:color="000000" w:fill="FFFFFF"/>
            <w:noWrap/>
            <w:vAlign w:val="center"/>
            <w:hideMark/>
          </w:tcPr>
          <w:p w14:paraId="1219AE54"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8.00</w:t>
            </w:r>
          </w:p>
        </w:tc>
        <w:tc>
          <w:tcPr>
            <w:tcW w:w="0" w:type="auto"/>
            <w:shd w:val="clear" w:color="000000" w:fill="FFFFFF"/>
            <w:noWrap/>
            <w:vAlign w:val="center"/>
            <w:hideMark/>
          </w:tcPr>
          <w:p w14:paraId="7E4187DB"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8.00</w:t>
            </w:r>
          </w:p>
        </w:tc>
        <w:tc>
          <w:tcPr>
            <w:tcW w:w="0" w:type="auto"/>
            <w:shd w:val="clear" w:color="000000" w:fill="FFFFFF"/>
            <w:noWrap/>
            <w:vAlign w:val="center"/>
            <w:hideMark/>
          </w:tcPr>
          <w:p w14:paraId="3305D75E"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0223FFE7"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3A1CF0B9"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034BBEB5"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0BDFD38A"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r>
      <w:tr w:rsidR="008215A0" w:rsidRPr="00CD00FB" w14:paraId="1B3E486C" w14:textId="77777777" w:rsidTr="00B27A98">
        <w:trPr>
          <w:trHeight w:val="300"/>
        </w:trPr>
        <w:tc>
          <w:tcPr>
            <w:tcW w:w="0" w:type="auto"/>
            <w:shd w:val="clear" w:color="000000" w:fill="FFFFFF"/>
            <w:noWrap/>
            <w:vAlign w:val="center"/>
            <w:hideMark/>
          </w:tcPr>
          <w:p w14:paraId="69145280"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2220199</w:t>
            </w:r>
          </w:p>
        </w:tc>
        <w:tc>
          <w:tcPr>
            <w:tcW w:w="1790" w:type="dxa"/>
            <w:shd w:val="clear" w:color="000000" w:fill="FFFFFF"/>
            <w:noWrap/>
            <w:vAlign w:val="center"/>
            <w:hideMark/>
          </w:tcPr>
          <w:p w14:paraId="4BADDEAA"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其他粮油物资事务支出</w:t>
            </w:r>
          </w:p>
        </w:tc>
        <w:tc>
          <w:tcPr>
            <w:tcW w:w="0" w:type="auto"/>
            <w:shd w:val="clear" w:color="000000" w:fill="FFFFFF"/>
            <w:noWrap/>
            <w:vAlign w:val="center"/>
            <w:hideMark/>
          </w:tcPr>
          <w:p w14:paraId="6843FFF7"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587.00</w:t>
            </w:r>
          </w:p>
        </w:tc>
        <w:tc>
          <w:tcPr>
            <w:tcW w:w="0" w:type="auto"/>
            <w:shd w:val="clear" w:color="000000" w:fill="FFFFFF"/>
            <w:noWrap/>
            <w:vAlign w:val="center"/>
            <w:hideMark/>
          </w:tcPr>
          <w:p w14:paraId="13BF8944"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587.00</w:t>
            </w:r>
          </w:p>
        </w:tc>
        <w:tc>
          <w:tcPr>
            <w:tcW w:w="0" w:type="auto"/>
            <w:shd w:val="clear" w:color="000000" w:fill="FFFFFF"/>
            <w:noWrap/>
            <w:vAlign w:val="center"/>
            <w:hideMark/>
          </w:tcPr>
          <w:p w14:paraId="3601A3B6"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77F244D2"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244725FA"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58889AB2"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0BA38552"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r>
      <w:tr w:rsidR="008215A0" w:rsidRPr="00CD00FB" w14:paraId="5039B21E" w14:textId="77777777" w:rsidTr="00B27A98">
        <w:trPr>
          <w:trHeight w:val="300"/>
        </w:trPr>
        <w:tc>
          <w:tcPr>
            <w:tcW w:w="0" w:type="auto"/>
            <w:shd w:val="clear" w:color="000000" w:fill="FFFFFF"/>
            <w:noWrap/>
            <w:vAlign w:val="center"/>
            <w:hideMark/>
          </w:tcPr>
          <w:p w14:paraId="3F6D2276"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2230199</w:t>
            </w:r>
          </w:p>
        </w:tc>
        <w:tc>
          <w:tcPr>
            <w:tcW w:w="1790" w:type="dxa"/>
            <w:shd w:val="clear" w:color="000000" w:fill="FFFFFF"/>
            <w:noWrap/>
            <w:vAlign w:val="center"/>
            <w:hideMark/>
          </w:tcPr>
          <w:p w14:paraId="58CFF0CB"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其他解决历史遗留问题及改革成本支出</w:t>
            </w:r>
          </w:p>
        </w:tc>
        <w:tc>
          <w:tcPr>
            <w:tcW w:w="0" w:type="auto"/>
            <w:shd w:val="clear" w:color="000000" w:fill="FFFFFF"/>
            <w:noWrap/>
            <w:vAlign w:val="center"/>
            <w:hideMark/>
          </w:tcPr>
          <w:p w14:paraId="3C55731D"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12.12</w:t>
            </w:r>
          </w:p>
        </w:tc>
        <w:tc>
          <w:tcPr>
            <w:tcW w:w="0" w:type="auto"/>
            <w:shd w:val="clear" w:color="000000" w:fill="FFFFFF"/>
            <w:noWrap/>
            <w:vAlign w:val="center"/>
            <w:hideMark/>
          </w:tcPr>
          <w:p w14:paraId="352DF16F"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12.12</w:t>
            </w:r>
          </w:p>
        </w:tc>
        <w:tc>
          <w:tcPr>
            <w:tcW w:w="0" w:type="auto"/>
            <w:shd w:val="clear" w:color="000000" w:fill="FFFFFF"/>
            <w:noWrap/>
            <w:vAlign w:val="center"/>
            <w:hideMark/>
          </w:tcPr>
          <w:p w14:paraId="3E93F741"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4D8160D7"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776CE4FB"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279958F6"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40F69EDF"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r>
      <w:tr w:rsidR="008215A0" w:rsidRPr="00CD00FB" w14:paraId="11A286BE" w14:textId="77777777" w:rsidTr="00B27A98">
        <w:trPr>
          <w:trHeight w:val="300"/>
        </w:trPr>
        <w:tc>
          <w:tcPr>
            <w:tcW w:w="0" w:type="auto"/>
            <w:shd w:val="clear" w:color="000000" w:fill="FFFFFF"/>
            <w:noWrap/>
            <w:vAlign w:val="center"/>
            <w:hideMark/>
          </w:tcPr>
          <w:p w14:paraId="50731252"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2299999</w:t>
            </w:r>
          </w:p>
        </w:tc>
        <w:tc>
          <w:tcPr>
            <w:tcW w:w="1790" w:type="dxa"/>
            <w:shd w:val="clear" w:color="000000" w:fill="FFFFFF"/>
            <w:noWrap/>
            <w:vAlign w:val="center"/>
            <w:hideMark/>
          </w:tcPr>
          <w:p w14:paraId="6992C36E"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其他支出</w:t>
            </w:r>
          </w:p>
        </w:tc>
        <w:tc>
          <w:tcPr>
            <w:tcW w:w="0" w:type="auto"/>
            <w:shd w:val="clear" w:color="000000" w:fill="FFFFFF"/>
            <w:noWrap/>
            <w:vAlign w:val="center"/>
            <w:hideMark/>
          </w:tcPr>
          <w:p w14:paraId="3E604587"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965.71</w:t>
            </w:r>
          </w:p>
        </w:tc>
        <w:tc>
          <w:tcPr>
            <w:tcW w:w="0" w:type="auto"/>
            <w:shd w:val="clear" w:color="000000" w:fill="FFFFFF"/>
            <w:noWrap/>
            <w:vAlign w:val="center"/>
            <w:hideMark/>
          </w:tcPr>
          <w:p w14:paraId="0E581B78"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965.71</w:t>
            </w:r>
          </w:p>
        </w:tc>
        <w:tc>
          <w:tcPr>
            <w:tcW w:w="0" w:type="auto"/>
            <w:shd w:val="clear" w:color="000000" w:fill="FFFFFF"/>
            <w:noWrap/>
            <w:vAlign w:val="center"/>
            <w:hideMark/>
          </w:tcPr>
          <w:p w14:paraId="652292BF"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7A64A684"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0254FCD5"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117439FE"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c>
          <w:tcPr>
            <w:tcW w:w="0" w:type="auto"/>
            <w:shd w:val="clear" w:color="000000" w:fill="FFFFFF"/>
            <w:noWrap/>
            <w:vAlign w:val="center"/>
            <w:hideMark/>
          </w:tcPr>
          <w:p w14:paraId="32E18B1C" w14:textId="77777777" w:rsidR="008215A0" w:rsidRPr="00CD00FB" w:rsidRDefault="008215A0" w:rsidP="00B27A98">
            <w:pPr>
              <w:widowControl/>
              <w:jc w:val="right"/>
              <w:rPr>
                <w:rFonts w:ascii="宋体" w:hAnsi="宋体" w:cs="宋体"/>
                <w:b/>
                <w:bCs/>
                <w:color w:val="000000"/>
                <w:kern w:val="0"/>
                <w:sz w:val="18"/>
                <w:szCs w:val="18"/>
              </w:rPr>
            </w:pPr>
            <w:r w:rsidRPr="00CD00FB">
              <w:rPr>
                <w:rFonts w:ascii="宋体" w:hAnsi="宋体" w:cs="宋体" w:hint="eastAsia"/>
                <w:b/>
                <w:bCs/>
                <w:color w:val="000000"/>
                <w:kern w:val="0"/>
                <w:sz w:val="18"/>
                <w:szCs w:val="18"/>
              </w:rPr>
              <w:t>0.00</w:t>
            </w:r>
          </w:p>
        </w:tc>
      </w:tr>
      <w:tr w:rsidR="008215A0" w:rsidRPr="00CD00FB" w14:paraId="67A45576" w14:textId="77777777" w:rsidTr="00B27A98">
        <w:trPr>
          <w:trHeight w:val="300"/>
        </w:trPr>
        <w:tc>
          <w:tcPr>
            <w:tcW w:w="8064" w:type="dxa"/>
            <w:gridSpan w:val="9"/>
            <w:shd w:val="clear" w:color="000000" w:fill="FFFFFF"/>
            <w:noWrap/>
            <w:vAlign w:val="center"/>
            <w:hideMark/>
          </w:tcPr>
          <w:p w14:paraId="2317EB23"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注：本表反映部门本年度取得的各项收入情况。</w:t>
            </w:r>
          </w:p>
        </w:tc>
      </w:tr>
    </w:tbl>
    <w:p w14:paraId="266F6F1A" w14:textId="77777777" w:rsidR="008215A0" w:rsidRDefault="008215A0" w:rsidP="008215A0">
      <w:pPr>
        <w:jc w:val="center"/>
      </w:pPr>
    </w:p>
    <w:p w14:paraId="1C060D1E" w14:textId="77777777" w:rsidR="008215A0" w:rsidRDefault="008215A0" w:rsidP="008215A0">
      <w:pPr>
        <w:rPr>
          <w:rFonts w:ascii="黑体" w:eastAsia="黑体" w:hAnsi="黑体"/>
          <w:sz w:val="32"/>
          <w:szCs w:val="32"/>
        </w:rPr>
      </w:pPr>
      <w:r>
        <w:br w:type="page"/>
      </w:r>
      <w:r>
        <w:rPr>
          <w:rFonts w:ascii="黑体" w:eastAsia="黑体" w:hAnsi="黑体" w:hint="eastAsia"/>
          <w:sz w:val="32"/>
          <w:szCs w:val="32"/>
        </w:rPr>
        <w:lastRenderedPageBreak/>
        <w:t>支出决算表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2320"/>
        <w:gridCol w:w="1052"/>
        <w:gridCol w:w="936"/>
        <w:gridCol w:w="936"/>
        <w:gridCol w:w="705"/>
        <w:gridCol w:w="659"/>
        <w:gridCol w:w="752"/>
      </w:tblGrid>
      <w:tr w:rsidR="008215A0" w:rsidRPr="00CD00FB" w14:paraId="3CE7562D" w14:textId="77777777" w:rsidTr="00B27A98">
        <w:trPr>
          <w:trHeight w:val="300"/>
        </w:trPr>
        <w:tc>
          <w:tcPr>
            <w:tcW w:w="3178" w:type="dxa"/>
            <w:gridSpan w:val="2"/>
            <w:shd w:val="clear" w:color="000000" w:fill="F1F1F1"/>
            <w:noWrap/>
            <w:vAlign w:val="center"/>
            <w:hideMark/>
          </w:tcPr>
          <w:p w14:paraId="2F31F51E"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项目</w:t>
            </w:r>
          </w:p>
        </w:tc>
        <w:tc>
          <w:tcPr>
            <w:tcW w:w="0" w:type="auto"/>
            <w:vMerge w:val="restart"/>
            <w:shd w:val="clear" w:color="000000" w:fill="F1F1F1"/>
            <w:vAlign w:val="center"/>
            <w:hideMark/>
          </w:tcPr>
          <w:p w14:paraId="2A9542BC"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本年支出合计</w:t>
            </w:r>
          </w:p>
        </w:tc>
        <w:tc>
          <w:tcPr>
            <w:tcW w:w="0" w:type="auto"/>
            <w:vMerge w:val="restart"/>
            <w:shd w:val="clear" w:color="000000" w:fill="F1F1F1"/>
            <w:vAlign w:val="center"/>
            <w:hideMark/>
          </w:tcPr>
          <w:p w14:paraId="3B2E0109"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基本支出</w:t>
            </w:r>
          </w:p>
        </w:tc>
        <w:tc>
          <w:tcPr>
            <w:tcW w:w="0" w:type="auto"/>
            <w:vMerge w:val="restart"/>
            <w:shd w:val="clear" w:color="000000" w:fill="F1F1F1"/>
            <w:vAlign w:val="center"/>
            <w:hideMark/>
          </w:tcPr>
          <w:p w14:paraId="6EEA8ED5"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项目支出</w:t>
            </w:r>
          </w:p>
        </w:tc>
        <w:tc>
          <w:tcPr>
            <w:tcW w:w="0" w:type="auto"/>
            <w:vMerge w:val="restart"/>
            <w:shd w:val="clear" w:color="000000" w:fill="F1F1F1"/>
            <w:vAlign w:val="center"/>
            <w:hideMark/>
          </w:tcPr>
          <w:p w14:paraId="3776760B"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上缴上级支出</w:t>
            </w:r>
          </w:p>
        </w:tc>
        <w:tc>
          <w:tcPr>
            <w:tcW w:w="0" w:type="auto"/>
            <w:vMerge w:val="restart"/>
            <w:shd w:val="clear" w:color="000000" w:fill="F1F1F1"/>
            <w:vAlign w:val="center"/>
            <w:hideMark/>
          </w:tcPr>
          <w:p w14:paraId="569B56CA"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经营支出</w:t>
            </w:r>
          </w:p>
        </w:tc>
        <w:tc>
          <w:tcPr>
            <w:tcW w:w="0" w:type="auto"/>
            <w:vMerge w:val="restart"/>
            <w:shd w:val="clear" w:color="000000" w:fill="F1F1F1"/>
            <w:vAlign w:val="center"/>
            <w:hideMark/>
          </w:tcPr>
          <w:p w14:paraId="205D7893"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对附属单位补助支出</w:t>
            </w:r>
          </w:p>
        </w:tc>
      </w:tr>
      <w:tr w:rsidR="008215A0" w:rsidRPr="00CD00FB" w14:paraId="461229DD" w14:textId="77777777" w:rsidTr="00B27A98">
        <w:trPr>
          <w:trHeight w:val="315"/>
        </w:trPr>
        <w:tc>
          <w:tcPr>
            <w:tcW w:w="0" w:type="auto"/>
            <w:vMerge w:val="restart"/>
            <w:shd w:val="clear" w:color="000000" w:fill="F1F1F1"/>
            <w:vAlign w:val="center"/>
            <w:hideMark/>
          </w:tcPr>
          <w:p w14:paraId="11E1CDB9"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科目代码</w:t>
            </w:r>
          </w:p>
        </w:tc>
        <w:tc>
          <w:tcPr>
            <w:tcW w:w="2320" w:type="dxa"/>
            <w:vMerge w:val="restart"/>
            <w:shd w:val="clear" w:color="000000" w:fill="F1F1F1"/>
            <w:noWrap/>
            <w:vAlign w:val="center"/>
            <w:hideMark/>
          </w:tcPr>
          <w:p w14:paraId="1E9DEFBA"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科目名称</w:t>
            </w:r>
          </w:p>
        </w:tc>
        <w:tc>
          <w:tcPr>
            <w:tcW w:w="0" w:type="auto"/>
            <w:vMerge/>
            <w:vAlign w:val="center"/>
            <w:hideMark/>
          </w:tcPr>
          <w:p w14:paraId="2C026AEB"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73CC839F"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07E26B31"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1436F72B"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1BB4E139"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05310ED1" w14:textId="77777777" w:rsidR="008215A0" w:rsidRPr="00CD00FB" w:rsidRDefault="008215A0" w:rsidP="00B27A98">
            <w:pPr>
              <w:widowControl/>
              <w:jc w:val="left"/>
              <w:rPr>
                <w:rFonts w:ascii="宋体" w:hAnsi="宋体" w:cs="宋体"/>
                <w:color w:val="000000"/>
                <w:kern w:val="0"/>
                <w:sz w:val="18"/>
                <w:szCs w:val="18"/>
              </w:rPr>
            </w:pPr>
          </w:p>
        </w:tc>
      </w:tr>
      <w:tr w:rsidR="008215A0" w:rsidRPr="00CD00FB" w14:paraId="579D05B9" w14:textId="77777777" w:rsidTr="00B27A98">
        <w:trPr>
          <w:trHeight w:val="315"/>
        </w:trPr>
        <w:tc>
          <w:tcPr>
            <w:tcW w:w="0" w:type="auto"/>
            <w:vMerge/>
            <w:vAlign w:val="center"/>
            <w:hideMark/>
          </w:tcPr>
          <w:p w14:paraId="41DCD721" w14:textId="77777777" w:rsidR="008215A0" w:rsidRPr="00CD00FB" w:rsidRDefault="008215A0" w:rsidP="00B27A98">
            <w:pPr>
              <w:widowControl/>
              <w:jc w:val="left"/>
              <w:rPr>
                <w:rFonts w:ascii="宋体" w:hAnsi="宋体" w:cs="宋体"/>
                <w:color w:val="000000"/>
                <w:kern w:val="0"/>
                <w:sz w:val="18"/>
                <w:szCs w:val="18"/>
              </w:rPr>
            </w:pPr>
          </w:p>
        </w:tc>
        <w:tc>
          <w:tcPr>
            <w:tcW w:w="2320" w:type="dxa"/>
            <w:vMerge/>
            <w:vAlign w:val="center"/>
            <w:hideMark/>
          </w:tcPr>
          <w:p w14:paraId="5035F0A4"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405DB3BF"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65C57D00"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6459684D"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5503431D"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79329403"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2465272F" w14:textId="77777777" w:rsidR="008215A0" w:rsidRPr="00CD00FB" w:rsidRDefault="008215A0" w:rsidP="00B27A98">
            <w:pPr>
              <w:widowControl/>
              <w:jc w:val="left"/>
              <w:rPr>
                <w:rFonts w:ascii="宋体" w:hAnsi="宋体" w:cs="宋体"/>
                <w:color w:val="000000"/>
                <w:kern w:val="0"/>
                <w:sz w:val="18"/>
                <w:szCs w:val="18"/>
              </w:rPr>
            </w:pPr>
          </w:p>
        </w:tc>
      </w:tr>
      <w:tr w:rsidR="008215A0" w:rsidRPr="00CD00FB" w14:paraId="630B6947" w14:textId="77777777" w:rsidTr="00B27A98">
        <w:trPr>
          <w:trHeight w:val="315"/>
        </w:trPr>
        <w:tc>
          <w:tcPr>
            <w:tcW w:w="0" w:type="auto"/>
            <w:vMerge/>
            <w:vAlign w:val="center"/>
            <w:hideMark/>
          </w:tcPr>
          <w:p w14:paraId="3DF16745" w14:textId="77777777" w:rsidR="008215A0" w:rsidRPr="00CD00FB" w:rsidRDefault="008215A0" w:rsidP="00B27A98">
            <w:pPr>
              <w:widowControl/>
              <w:jc w:val="left"/>
              <w:rPr>
                <w:rFonts w:ascii="宋体" w:hAnsi="宋体" w:cs="宋体"/>
                <w:color w:val="000000"/>
                <w:kern w:val="0"/>
                <w:sz w:val="18"/>
                <w:szCs w:val="18"/>
              </w:rPr>
            </w:pPr>
          </w:p>
        </w:tc>
        <w:tc>
          <w:tcPr>
            <w:tcW w:w="2320" w:type="dxa"/>
            <w:vMerge/>
            <w:vAlign w:val="center"/>
            <w:hideMark/>
          </w:tcPr>
          <w:p w14:paraId="71138C78"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1600BF99"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35C3088E"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162BFD5D"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30A3A118"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1067D410" w14:textId="77777777" w:rsidR="008215A0" w:rsidRPr="00CD00FB" w:rsidRDefault="008215A0" w:rsidP="00B27A98">
            <w:pPr>
              <w:widowControl/>
              <w:jc w:val="left"/>
              <w:rPr>
                <w:rFonts w:ascii="宋体" w:hAnsi="宋体" w:cs="宋体"/>
                <w:color w:val="000000"/>
                <w:kern w:val="0"/>
                <w:sz w:val="18"/>
                <w:szCs w:val="18"/>
              </w:rPr>
            </w:pPr>
          </w:p>
        </w:tc>
        <w:tc>
          <w:tcPr>
            <w:tcW w:w="0" w:type="auto"/>
            <w:vMerge/>
            <w:vAlign w:val="center"/>
            <w:hideMark/>
          </w:tcPr>
          <w:p w14:paraId="7A3F2215" w14:textId="77777777" w:rsidR="008215A0" w:rsidRPr="00CD00FB" w:rsidRDefault="008215A0" w:rsidP="00B27A98">
            <w:pPr>
              <w:widowControl/>
              <w:jc w:val="left"/>
              <w:rPr>
                <w:rFonts w:ascii="宋体" w:hAnsi="宋体" w:cs="宋体"/>
                <w:color w:val="000000"/>
                <w:kern w:val="0"/>
                <w:sz w:val="18"/>
                <w:szCs w:val="18"/>
              </w:rPr>
            </w:pPr>
          </w:p>
        </w:tc>
      </w:tr>
      <w:tr w:rsidR="008215A0" w:rsidRPr="00CD00FB" w14:paraId="1FB4E174" w14:textId="77777777" w:rsidTr="00B27A98">
        <w:trPr>
          <w:trHeight w:val="300"/>
        </w:trPr>
        <w:tc>
          <w:tcPr>
            <w:tcW w:w="3178" w:type="dxa"/>
            <w:gridSpan w:val="2"/>
            <w:shd w:val="clear" w:color="000000" w:fill="F1F1F1"/>
            <w:noWrap/>
            <w:vAlign w:val="center"/>
            <w:hideMark/>
          </w:tcPr>
          <w:p w14:paraId="47D2A721"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栏次</w:t>
            </w:r>
          </w:p>
        </w:tc>
        <w:tc>
          <w:tcPr>
            <w:tcW w:w="0" w:type="auto"/>
            <w:shd w:val="clear" w:color="000000" w:fill="F1F1F1"/>
            <w:vAlign w:val="center"/>
            <w:hideMark/>
          </w:tcPr>
          <w:p w14:paraId="77626AC3"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1</w:t>
            </w:r>
          </w:p>
        </w:tc>
        <w:tc>
          <w:tcPr>
            <w:tcW w:w="0" w:type="auto"/>
            <w:shd w:val="clear" w:color="000000" w:fill="F1F1F1"/>
            <w:vAlign w:val="center"/>
            <w:hideMark/>
          </w:tcPr>
          <w:p w14:paraId="15A6A983"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2</w:t>
            </w:r>
          </w:p>
        </w:tc>
        <w:tc>
          <w:tcPr>
            <w:tcW w:w="0" w:type="auto"/>
            <w:shd w:val="clear" w:color="000000" w:fill="F1F1F1"/>
            <w:vAlign w:val="center"/>
            <w:hideMark/>
          </w:tcPr>
          <w:p w14:paraId="35C1C502"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3</w:t>
            </w:r>
          </w:p>
        </w:tc>
        <w:tc>
          <w:tcPr>
            <w:tcW w:w="0" w:type="auto"/>
            <w:shd w:val="clear" w:color="000000" w:fill="F1F1F1"/>
            <w:vAlign w:val="center"/>
            <w:hideMark/>
          </w:tcPr>
          <w:p w14:paraId="65AF9CF7"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4</w:t>
            </w:r>
          </w:p>
        </w:tc>
        <w:tc>
          <w:tcPr>
            <w:tcW w:w="0" w:type="auto"/>
            <w:shd w:val="clear" w:color="000000" w:fill="F1F1F1"/>
            <w:vAlign w:val="center"/>
            <w:hideMark/>
          </w:tcPr>
          <w:p w14:paraId="1D259543"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5</w:t>
            </w:r>
          </w:p>
        </w:tc>
        <w:tc>
          <w:tcPr>
            <w:tcW w:w="0" w:type="auto"/>
            <w:shd w:val="clear" w:color="000000" w:fill="F1F1F1"/>
            <w:vAlign w:val="center"/>
            <w:hideMark/>
          </w:tcPr>
          <w:p w14:paraId="45DBE389"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6</w:t>
            </w:r>
          </w:p>
        </w:tc>
      </w:tr>
      <w:tr w:rsidR="008215A0" w:rsidRPr="00CD00FB" w14:paraId="2AFECD96" w14:textId="77777777" w:rsidTr="00B27A98">
        <w:trPr>
          <w:trHeight w:val="300"/>
        </w:trPr>
        <w:tc>
          <w:tcPr>
            <w:tcW w:w="3178" w:type="dxa"/>
            <w:gridSpan w:val="2"/>
            <w:shd w:val="clear" w:color="000000" w:fill="F1F1F1"/>
            <w:noWrap/>
            <w:vAlign w:val="center"/>
            <w:hideMark/>
          </w:tcPr>
          <w:p w14:paraId="7939DB15"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合计</w:t>
            </w:r>
          </w:p>
        </w:tc>
        <w:tc>
          <w:tcPr>
            <w:tcW w:w="0" w:type="auto"/>
            <w:shd w:val="clear" w:color="auto" w:fill="auto"/>
            <w:noWrap/>
            <w:vAlign w:val="center"/>
            <w:hideMark/>
          </w:tcPr>
          <w:p w14:paraId="3B969A75"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3,356.24</w:t>
            </w:r>
          </w:p>
        </w:tc>
        <w:tc>
          <w:tcPr>
            <w:tcW w:w="0" w:type="auto"/>
            <w:shd w:val="clear" w:color="auto" w:fill="auto"/>
            <w:noWrap/>
            <w:vAlign w:val="center"/>
            <w:hideMark/>
          </w:tcPr>
          <w:p w14:paraId="1BB04EA7"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1,624.13</w:t>
            </w:r>
          </w:p>
        </w:tc>
        <w:tc>
          <w:tcPr>
            <w:tcW w:w="0" w:type="auto"/>
            <w:shd w:val="clear" w:color="auto" w:fill="auto"/>
            <w:noWrap/>
            <w:vAlign w:val="center"/>
            <w:hideMark/>
          </w:tcPr>
          <w:p w14:paraId="55C60F78"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1,732.11</w:t>
            </w:r>
          </w:p>
        </w:tc>
        <w:tc>
          <w:tcPr>
            <w:tcW w:w="0" w:type="auto"/>
            <w:shd w:val="clear" w:color="auto" w:fill="auto"/>
            <w:noWrap/>
            <w:vAlign w:val="center"/>
            <w:hideMark/>
          </w:tcPr>
          <w:p w14:paraId="2A4C4E47"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4C63D1E9"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2C78A280"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101F419F" w14:textId="77777777" w:rsidTr="00B27A98">
        <w:trPr>
          <w:trHeight w:val="300"/>
        </w:trPr>
        <w:tc>
          <w:tcPr>
            <w:tcW w:w="0" w:type="auto"/>
            <w:shd w:val="clear" w:color="000000" w:fill="FFFFFF"/>
            <w:noWrap/>
            <w:vAlign w:val="center"/>
            <w:hideMark/>
          </w:tcPr>
          <w:p w14:paraId="0C21B91B"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2010401</w:t>
            </w:r>
          </w:p>
        </w:tc>
        <w:tc>
          <w:tcPr>
            <w:tcW w:w="2320" w:type="dxa"/>
            <w:shd w:val="clear" w:color="000000" w:fill="FFFFFF"/>
            <w:noWrap/>
            <w:vAlign w:val="center"/>
            <w:hideMark/>
          </w:tcPr>
          <w:p w14:paraId="04C6EA79"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行政运行</w:t>
            </w:r>
          </w:p>
        </w:tc>
        <w:tc>
          <w:tcPr>
            <w:tcW w:w="0" w:type="auto"/>
            <w:shd w:val="clear" w:color="auto" w:fill="auto"/>
            <w:noWrap/>
            <w:vAlign w:val="center"/>
            <w:hideMark/>
          </w:tcPr>
          <w:p w14:paraId="5E1DD722"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1,193.58</w:t>
            </w:r>
          </w:p>
        </w:tc>
        <w:tc>
          <w:tcPr>
            <w:tcW w:w="0" w:type="auto"/>
            <w:shd w:val="clear" w:color="auto" w:fill="auto"/>
            <w:noWrap/>
            <w:vAlign w:val="center"/>
            <w:hideMark/>
          </w:tcPr>
          <w:p w14:paraId="39D30F84"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1,193.58</w:t>
            </w:r>
          </w:p>
        </w:tc>
        <w:tc>
          <w:tcPr>
            <w:tcW w:w="0" w:type="auto"/>
            <w:shd w:val="clear" w:color="auto" w:fill="auto"/>
            <w:noWrap/>
            <w:vAlign w:val="center"/>
            <w:hideMark/>
          </w:tcPr>
          <w:p w14:paraId="7106FE76"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345CE7F5"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6B3B7BD7"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640ADF24"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2C077AED" w14:textId="77777777" w:rsidTr="00B27A98">
        <w:trPr>
          <w:trHeight w:val="300"/>
        </w:trPr>
        <w:tc>
          <w:tcPr>
            <w:tcW w:w="0" w:type="auto"/>
            <w:shd w:val="clear" w:color="000000" w:fill="FFFFFF"/>
            <w:noWrap/>
            <w:vAlign w:val="center"/>
            <w:hideMark/>
          </w:tcPr>
          <w:p w14:paraId="1A252690"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2010402</w:t>
            </w:r>
          </w:p>
        </w:tc>
        <w:tc>
          <w:tcPr>
            <w:tcW w:w="2320" w:type="dxa"/>
            <w:shd w:val="clear" w:color="000000" w:fill="FFFFFF"/>
            <w:noWrap/>
            <w:vAlign w:val="center"/>
            <w:hideMark/>
          </w:tcPr>
          <w:p w14:paraId="1E4525D3"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一般行政管理事务</w:t>
            </w:r>
          </w:p>
        </w:tc>
        <w:tc>
          <w:tcPr>
            <w:tcW w:w="0" w:type="auto"/>
            <w:shd w:val="clear" w:color="auto" w:fill="auto"/>
            <w:noWrap/>
            <w:vAlign w:val="center"/>
            <w:hideMark/>
          </w:tcPr>
          <w:p w14:paraId="5DC8DC61"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50.00</w:t>
            </w:r>
          </w:p>
        </w:tc>
        <w:tc>
          <w:tcPr>
            <w:tcW w:w="0" w:type="auto"/>
            <w:shd w:val="clear" w:color="auto" w:fill="auto"/>
            <w:noWrap/>
            <w:vAlign w:val="center"/>
            <w:hideMark/>
          </w:tcPr>
          <w:p w14:paraId="7DBB4F13"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15D583F1"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50.00</w:t>
            </w:r>
          </w:p>
        </w:tc>
        <w:tc>
          <w:tcPr>
            <w:tcW w:w="0" w:type="auto"/>
            <w:shd w:val="clear" w:color="auto" w:fill="auto"/>
            <w:noWrap/>
            <w:vAlign w:val="center"/>
            <w:hideMark/>
          </w:tcPr>
          <w:p w14:paraId="3B3367BA"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3E1F26BC"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4C1DBDCF"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3D3EEA5D" w14:textId="77777777" w:rsidTr="00B27A98">
        <w:trPr>
          <w:trHeight w:val="300"/>
        </w:trPr>
        <w:tc>
          <w:tcPr>
            <w:tcW w:w="0" w:type="auto"/>
            <w:shd w:val="clear" w:color="000000" w:fill="FFFFFF"/>
            <w:noWrap/>
            <w:vAlign w:val="center"/>
            <w:hideMark/>
          </w:tcPr>
          <w:p w14:paraId="3603AFF0"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2010405</w:t>
            </w:r>
          </w:p>
        </w:tc>
        <w:tc>
          <w:tcPr>
            <w:tcW w:w="2320" w:type="dxa"/>
            <w:shd w:val="clear" w:color="000000" w:fill="FFFFFF"/>
            <w:noWrap/>
            <w:vAlign w:val="center"/>
            <w:hideMark/>
          </w:tcPr>
          <w:p w14:paraId="46815BDC"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日常经济运行调节</w:t>
            </w:r>
          </w:p>
        </w:tc>
        <w:tc>
          <w:tcPr>
            <w:tcW w:w="0" w:type="auto"/>
            <w:shd w:val="clear" w:color="auto" w:fill="auto"/>
            <w:noWrap/>
            <w:vAlign w:val="center"/>
            <w:hideMark/>
          </w:tcPr>
          <w:p w14:paraId="6BADE04F"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100.85</w:t>
            </w:r>
          </w:p>
        </w:tc>
        <w:tc>
          <w:tcPr>
            <w:tcW w:w="0" w:type="auto"/>
            <w:shd w:val="clear" w:color="auto" w:fill="auto"/>
            <w:noWrap/>
            <w:vAlign w:val="center"/>
            <w:hideMark/>
          </w:tcPr>
          <w:p w14:paraId="08832B4B"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2B2081A3"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100.85</w:t>
            </w:r>
          </w:p>
        </w:tc>
        <w:tc>
          <w:tcPr>
            <w:tcW w:w="0" w:type="auto"/>
            <w:shd w:val="clear" w:color="auto" w:fill="auto"/>
            <w:noWrap/>
            <w:vAlign w:val="center"/>
            <w:hideMark/>
          </w:tcPr>
          <w:p w14:paraId="191A1632"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18D236B0"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5388AC18"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05E34727" w14:textId="77777777" w:rsidTr="00B27A98">
        <w:trPr>
          <w:trHeight w:val="300"/>
        </w:trPr>
        <w:tc>
          <w:tcPr>
            <w:tcW w:w="0" w:type="auto"/>
            <w:shd w:val="clear" w:color="000000" w:fill="FFFFFF"/>
            <w:noWrap/>
            <w:vAlign w:val="center"/>
            <w:hideMark/>
          </w:tcPr>
          <w:p w14:paraId="31B1BCDD"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2011308</w:t>
            </w:r>
          </w:p>
        </w:tc>
        <w:tc>
          <w:tcPr>
            <w:tcW w:w="2320" w:type="dxa"/>
            <w:shd w:val="clear" w:color="000000" w:fill="FFFFFF"/>
            <w:noWrap/>
            <w:vAlign w:val="center"/>
            <w:hideMark/>
          </w:tcPr>
          <w:p w14:paraId="0AA74447"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招商引资</w:t>
            </w:r>
          </w:p>
        </w:tc>
        <w:tc>
          <w:tcPr>
            <w:tcW w:w="0" w:type="auto"/>
            <w:shd w:val="clear" w:color="auto" w:fill="auto"/>
            <w:noWrap/>
            <w:vAlign w:val="center"/>
            <w:hideMark/>
          </w:tcPr>
          <w:p w14:paraId="4DF3110A"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0.77</w:t>
            </w:r>
          </w:p>
        </w:tc>
        <w:tc>
          <w:tcPr>
            <w:tcW w:w="0" w:type="auto"/>
            <w:shd w:val="clear" w:color="auto" w:fill="auto"/>
            <w:noWrap/>
            <w:vAlign w:val="center"/>
            <w:hideMark/>
          </w:tcPr>
          <w:p w14:paraId="00E17DC9"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65A330A1"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0.77</w:t>
            </w:r>
          </w:p>
        </w:tc>
        <w:tc>
          <w:tcPr>
            <w:tcW w:w="0" w:type="auto"/>
            <w:shd w:val="clear" w:color="auto" w:fill="auto"/>
            <w:noWrap/>
            <w:vAlign w:val="center"/>
            <w:hideMark/>
          </w:tcPr>
          <w:p w14:paraId="408D7B90"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0ECA17E9"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7A03FBE4"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7A172908" w14:textId="77777777" w:rsidTr="00B27A98">
        <w:trPr>
          <w:trHeight w:val="300"/>
        </w:trPr>
        <w:tc>
          <w:tcPr>
            <w:tcW w:w="0" w:type="auto"/>
            <w:shd w:val="clear" w:color="000000" w:fill="FFFFFF"/>
            <w:noWrap/>
            <w:vAlign w:val="center"/>
            <w:hideMark/>
          </w:tcPr>
          <w:p w14:paraId="7B2D573D"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2080501</w:t>
            </w:r>
          </w:p>
        </w:tc>
        <w:tc>
          <w:tcPr>
            <w:tcW w:w="2320" w:type="dxa"/>
            <w:shd w:val="clear" w:color="000000" w:fill="FFFFFF"/>
            <w:noWrap/>
            <w:vAlign w:val="center"/>
            <w:hideMark/>
          </w:tcPr>
          <w:p w14:paraId="1578C895"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行政单位离退休</w:t>
            </w:r>
          </w:p>
        </w:tc>
        <w:tc>
          <w:tcPr>
            <w:tcW w:w="0" w:type="auto"/>
            <w:shd w:val="clear" w:color="auto" w:fill="auto"/>
            <w:noWrap/>
            <w:vAlign w:val="center"/>
            <w:hideMark/>
          </w:tcPr>
          <w:p w14:paraId="55B3B4B3"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23.85</w:t>
            </w:r>
          </w:p>
        </w:tc>
        <w:tc>
          <w:tcPr>
            <w:tcW w:w="0" w:type="auto"/>
            <w:shd w:val="clear" w:color="auto" w:fill="auto"/>
            <w:noWrap/>
            <w:vAlign w:val="center"/>
            <w:hideMark/>
          </w:tcPr>
          <w:p w14:paraId="6A28162F"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23.85</w:t>
            </w:r>
          </w:p>
        </w:tc>
        <w:tc>
          <w:tcPr>
            <w:tcW w:w="0" w:type="auto"/>
            <w:shd w:val="clear" w:color="auto" w:fill="auto"/>
            <w:noWrap/>
            <w:vAlign w:val="center"/>
            <w:hideMark/>
          </w:tcPr>
          <w:p w14:paraId="1EE7FD24"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44E70F6A"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6F473E54"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1B2F2124"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37253077" w14:textId="77777777" w:rsidTr="00B27A98">
        <w:trPr>
          <w:trHeight w:val="300"/>
        </w:trPr>
        <w:tc>
          <w:tcPr>
            <w:tcW w:w="0" w:type="auto"/>
            <w:shd w:val="clear" w:color="000000" w:fill="FFFFFF"/>
            <w:noWrap/>
            <w:vAlign w:val="center"/>
            <w:hideMark/>
          </w:tcPr>
          <w:p w14:paraId="658E18A2"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2080505</w:t>
            </w:r>
          </w:p>
        </w:tc>
        <w:tc>
          <w:tcPr>
            <w:tcW w:w="2320" w:type="dxa"/>
            <w:shd w:val="clear" w:color="000000" w:fill="FFFFFF"/>
            <w:noWrap/>
            <w:vAlign w:val="center"/>
            <w:hideMark/>
          </w:tcPr>
          <w:p w14:paraId="1753DB17"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机关事业单位基本养老保险缴费支出</w:t>
            </w:r>
          </w:p>
        </w:tc>
        <w:tc>
          <w:tcPr>
            <w:tcW w:w="0" w:type="auto"/>
            <w:shd w:val="clear" w:color="auto" w:fill="auto"/>
            <w:noWrap/>
            <w:vAlign w:val="center"/>
            <w:hideMark/>
          </w:tcPr>
          <w:p w14:paraId="0708CBD7"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152.56</w:t>
            </w:r>
          </w:p>
        </w:tc>
        <w:tc>
          <w:tcPr>
            <w:tcW w:w="0" w:type="auto"/>
            <w:shd w:val="clear" w:color="auto" w:fill="auto"/>
            <w:noWrap/>
            <w:vAlign w:val="center"/>
            <w:hideMark/>
          </w:tcPr>
          <w:p w14:paraId="77809958"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152.56</w:t>
            </w:r>
          </w:p>
        </w:tc>
        <w:tc>
          <w:tcPr>
            <w:tcW w:w="0" w:type="auto"/>
            <w:shd w:val="clear" w:color="auto" w:fill="auto"/>
            <w:noWrap/>
            <w:vAlign w:val="center"/>
            <w:hideMark/>
          </w:tcPr>
          <w:p w14:paraId="1B87C58C"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42B25A02"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4F33E9E0"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15A0067A"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3442F39A" w14:textId="77777777" w:rsidTr="00B27A98">
        <w:trPr>
          <w:trHeight w:val="300"/>
        </w:trPr>
        <w:tc>
          <w:tcPr>
            <w:tcW w:w="0" w:type="auto"/>
            <w:shd w:val="clear" w:color="000000" w:fill="FFFFFF"/>
            <w:noWrap/>
            <w:vAlign w:val="center"/>
            <w:hideMark/>
          </w:tcPr>
          <w:p w14:paraId="28C11D46"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2080506</w:t>
            </w:r>
          </w:p>
        </w:tc>
        <w:tc>
          <w:tcPr>
            <w:tcW w:w="2320" w:type="dxa"/>
            <w:shd w:val="clear" w:color="000000" w:fill="FFFFFF"/>
            <w:noWrap/>
            <w:vAlign w:val="center"/>
            <w:hideMark/>
          </w:tcPr>
          <w:p w14:paraId="138CCA51"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机关事业单位职业年金缴费支出</w:t>
            </w:r>
          </w:p>
        </w:tc>
        <w:tc>
          <w:tcPr>
            <w:tcW w:w="0" w:type="auto"/>
            <w:shd w:val="clear" w:color="auto" w:fill="auto"/>
            <w:noWrap/>
            <w:vAlign w:val="center"/>
            <w:hideMark/>
          </w:tcPr>
          <w:p w14:paraId="1B3A4EA2"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76.28</w:t>
            </w:r>
          </w:p>
        </w:tc>
        <w:tc>
          <w:tcPr>
            <w:tcW w:w="0" w:type="auto"/>
            <w:shd w:val="clear" w:color="auto" w:fill="auto"/>
            <w:noWrap/>
            <w:vAlign w:val="center"/>
            <w:hideMark/>
          </w:tcPr>
          <w:p w14:paraId="26E76216"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76.28</w:t>
            </w:r>
          </w:p>
        </w:tc>
        <w:tc>
          <w:tcPr>
            <w:tcW w:w="0" w:type="auto"/>
            <w:shd w:val="clear" w:color="auto" w:fill="auto"/>
            <w:noWrap/>
            <w:vAlign w:val="center"/>
            <w:hideMark/>
          </w:tcPr>
          <w:p w14:paraId="15AAB98A"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519CAAEA"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0255AD4D"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2BE611BB"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6DA2E428" w14:textId="77777777" w:rsidTr="00B27A98">
        <w:trPr>
          <w:trHeight w:val="300"/>
        </w:trPr>
        <w:tc>
          <w:tcPr>
            <w:tcW w:w="0" w:type="auto"/>
            <w:shd w:val="clear" w:color="000000" w:fill="FFFFFF"/>
            <w:noWrap/>
            <w:vAlign w:val="center"/>
            <w:hideMark/>
          </w:tcPr>
          <w:p w14:paraId="07881C10"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2080711</w:t>
            </w:r>
          </w:p>
        </w:tc>
        <w:tc>
          <w:tcPr>
            <w:tcW w:w="2320" w:type="dxa"/>
            <w:shd w:val="clear" w:color="000000" w:fill="FFFFFF"/>
            <w:noWrap/>
            <w:vAlign w:val="center"/>
            <w:hideMark/>
          </w:tcPr>
          <w:p w14:paraId="0BA93F5F"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就业见习补贴</w:t>
            </w:r>
          </w:p>
        </w:tc>
        <w:tc>
          <w:tcPr>
            <w:tcW w:w="0" w:type="auto"/>
            <w:shd w:val="clear" w:color="auto" w:fill="auto"/>
            <w:noWrap/>
            <w:vAlign w:val="center"/>
            <w:hideMark/>
          </w:tcPr>
          <w:p w14:paraId="76F0E3C5"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8.64</w:t>
            </w:r>
          </w:p>
        </w:tc>
        <w:tc>
          <w:tcPr>
            <w:tcW w:w="0" w:type="auto"/>
            <w:shd w:val="clear" w:color="auto" w:fill="auto"/>
            <w:noWrap/>
            <w:vAlign w:val="center"/>
            <w:hideMark/>
          </w:tcPr>
          <w:p w14:paraId="125EE89E"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5E0EA62D"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8.64</w:t>
            </w:r>
          </w:p>
        </w:tc>
        <w:tc>
          <w:tcPr>
            <w:tcW w:w="0" w:type="auto"/>
            <w:shd w:val="clear" w:color="auto" w:fill="auto"/>
            <w:noWrap/>
            <w:vAlign w:val="center"/>
            <w:hideMark/>
          </w:tcPr>
          <w:p w14:paraId="7309EFB3"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5F3DA0AF"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5A4A40C0"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2D938F55" w14:textId="77777777" w:rsidTr="00B27A98">
        <w:trPr>
          <w:trHeight w:val="300"/>
        </w:trPr>
        <w:tc>
          <w:tcPr>
            <w:tcW w:w="0" w:type="auto"/>
            <w:shd w:val="clear" w:color="000000" w:fill="FFFFFF"/>
            <w:noWrap/>
            <w:vAlign w:val="center"/>
            <w:hideMark/>
          </w:tcPr>
          <w:p w14:paraId="1D17CDA4"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2101101</w:t>
            </w:r>
          </w:p>
        </w:tc>
        <w:tc>
          <w:tcPr>
            <w:tcW w:w="2320" w:type="dxa"/>
            <w:shd w:val="clear" w:color="000000" w:fill="FFFFFF"/>
            <w:noWrap/>
            <w:vAlign w:val="center"/>
            <w:hideMark/>
          </w:tcPr>
          <w:p w14:paraId="3538D0D7"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行政单位医疗</w:t>
            </w:r>
          </w:p>
        </w:tc>
        <w:tc>
          <w:tcPr>
            <w:tcW w:w="0" w:type="auto"/>
            <w:shd w:val="clear" w:color="auto" w:fill="auto"/>
            <w:noWrap/>
            <w:vAlign w:val="center"/>
            <w:hideMark/>
          </w:tcPr>
          <w:p w14:paraId="5FB08DCA"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53.74</w:t>
            </w:r>
          </w:p>
        </w:tc>
        <w:tc>
          <w:tcPr>
            <w:tcW w:w="0" w:type="auto"/>
            <w:shd w:val="clear" w:color="auto" w:fill="auto"/>
            <w:noWrap/>
            <w:vAlign w:val="center"/>
            <w:hideMark/>
          </w:tcPr>
          <w:p w14:paraId="133C5561"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53.74</w:t>
            </w:r>
          </w:p>
        </w:tc>
        <w:tc>
          <w:tcPr>
            <w:tcW w:w="0" w:type="auto"/>
            <w:shd w:val="clear" w:color="auto" w:fill="auto"/>
            <w:noWrap/>
            <w:vAlign w:val="center"/>
            <w:hideMark/>
          </w:tcPr>
          <w:p w14:paraId="0CA4194C"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0E6B2EC9"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40EE9502"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1BD74C37"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4465D6B1" w14:textId="77777777" w:rsidTr="00B27A98">
        <w:trPr>
          <w:trHeight w:val="300"/>
        </w:trPr>
        <w:tc>
          <w:tcPr>
            <w:tcW w:w="0" w:type="auto"/>
            <w:shd w:val="clear" w:color="000000" w:fill="FFFFFF"/>
            <w:noWrap/>
            <w:vAlign w:val="center"/>
            <w:hideMark/>
          </w:tcPr>
          <w:p w14:paraId="10EE6FF2"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2210201</w:t>
            </w:r>
          </w:p>
        </w:tc>
        <w:tc>
          <w:tcPr>
            <w:tcW w:w="2320" w:type="dxa"/>
            <w:shd w:val="clear" w:color="000000" w:fill="FFFFFF"/>
            <w:noWrap/>
            <w:vAlign w:val="center"/>
            <w:hideMark/>
          </w:tcPr>
          <w:p w14:paraId="26495601"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住房公积金</w:t>
            </w:r>
          </w:p>
        </w:tc>
        <w:tc>
          <w:tcPr>
            <w:tcW w:w="0" w:type="auto"/>
            <w:shd w:val="clear" w:color="auto" w:fill="auto"/>
            <w:noWrap/>
            <w:vAlign w:val="center"/>
            <w:hideMark/>
          </w:tcPr>
          <w:p w14:paraId="66753BF4"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124.12</w:t>
            </w:r>
          </w:p>
        </w:tc>
        <w:tc>
          <w:tcPr>
            <w:tcW w:w="0" w:type="auto"/>
            <w:shd w:val="clear" w:color="auto" w:fill="auto"/>
            <w:noWrap/>
            <w:vAlign w:val="center"/>
            <w:hideMark/>
          </w:tcPr>
          <w:p w14:paraId="3A89E671"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124.12</w:t>
            </w:r>
          </w:p>
        </w:tc>
        <w:tc>
          <w:tcPr>
            <w:tcW w:w="0" w:type="auto"/>
            <w:shd w:val="clear" w:color="auto" w:fill="auto"/>
            <w:noWrap/>
            <w:vAlign w:val="center"/>
            <w:hideMark/>
          </w:tcPr>
          <w:p w14:paraId="575A5EFB"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40FAAC88"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6BB9C614"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50F0E3F4"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15A47147" w14:textId="77777777" w:rsidTr="00B27A98">
        <w:trPr>
          <w:trHeight w:val="300"/>
        </w:trPr>
        <w:tc>
          <w:tcPr>
            <w:tcW w:w="0" w:type="auto"/>
            <w:shd w:val="clear" w:color="000000" w:fill="FFFFFF"/>
            <w:noWrap/>
            <w:vAlign w:val="center"/>
            <w:hideMark/>
          </w:tcPr>
          <w:p w14:paraId="11EA0FFB"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2220106</w:t>
            </w:r>
          </w:p>
        </w:tc>
        <w:tc>
          <w:tcPr>
            <w:tcW w:w="2320" w:type="dxa"/>
            <w:shd w:val="clear" w:color="000000" w:fill="FFFFFF"/>
            <w:noWrap/>
            <w:vAlign w:val="center"/>
            <w:hideMark/>
          </w:tcPr>
          <w:p w14:paraId="5B73D531"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专项业务活动</w:t>
            </w:r>
          </w:p>
        </w:tc>
        <w:tc>
          <w:tcPr>
            <w:tcW w:w="0" w:type="auto"/>
            <w:shd w:val="clear" w:color="auto" w:fill="auto"/>
            <w:noWrap/>
            <w:vAlign w:val="center"/>
            <w:hideMark/>
          </w:tcPr>
          <w:p w14:paraId="05C69DCF"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8.00</w:t>
            </w:r>
          </w:p>
        </w:tc>
        <w:tc>
          <w:tcPr>
            <w:tcW w:w="0" w:type="auto"/>
            <w:shd w:val="clear" w:color="auto" w:fill="auto"/>
            <w:noWrap/>
            <w:vAlign w:val="center"/>
            <w:hideMark/>
          </w:tcPr>
          <w:p w14:paraId="2FA0BBFB"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44586559"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8.00</w:t>
            </w:r>
          </w:p>
        </w:tc>
        <w:tc>
          <w:tcPr>
            <w:tcW w:w="0" w:type="auto"/>
            <w:shd w:val="clear" w:color="auto" w:fill="auto"/>
            <w:noWrap/>
            <w:vAlign w:val="center"/>
            <w:hideMark/>
          </w:tcPr>
          <w:p w14:paraId="0E34E705"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1E8F5C92"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7CDF17E4"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6346127D" w14:textId="77777777" w:rsidTr="00B27A98">
        <w:trPr>
          <w:trHeight w:val="300"/>
        </w:trPr>
        <w:tc>
          <w:tcPr>
            <w:tcW w:w="0" w:type="auto"/>
            <w:shd w:val="clear" w:color="000000" w:fill="FFFFFF"/>
            <w:noWrap/>
            <w:vAlign w:val="center"/>
            <w:hideMark/>
          </w:tcPr>
          <w:p w14:paraId="609A768D"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2220199</w:t>
            </w:r>
          </w:p>
        </w:tc>
        <w:tc>
          <w:tcPr>
            <w:tcW w:w="2320" w:type="dxa"/>
            <w:shd w:val="clear" w:color="000000" w:fill="FFFFFF"/>
            <w:noWrap/>
            <w:vAlign w:val="center"/>
            <w:hideMark/>
          </w:tcPr>
          <w:p w14:paraId="20C2DD2F"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其他粮油物资事务支出</w:t>
            </w:r>
          </w:p>
        </w:tc>
        <w:tc>
          <w:tcPr>
            <w:tcW w:w="0" w:type="auto"/>
            <w:shd w:val="clear" w:color="auto" w:fill="auto"/>
            <w:noWrap/>
            <w:vAlign w:val="center"/>
            <w:hideMark/>
          </w:tcPr>
          <w:p w14:paraId="6EAC255E"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587.00</w:t>
            </w:r>
          </w:p>
        </w:tc>
        <w:tc>
          <w:tcPr>
            <w:tcW w:w="0" w:type="auto"/>
            <w:shd w:val="clear" w:color="auto" w:fill="auto"/>
            <w:noWrap/>
            <w:vAlign w:val="center"/>
            <w:hideMark/>
          </w:tcPr>
          <w:p w14:paraId="5D228A6C"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11253411"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587.00</w:t>
            </w:r>
          </w:p>
        </w:tc>
        <w:tc>
          <w:tcPr>
            <w:tcW w:w="0" w:type="auto"/>
            <w:shd w:val="clear" w:color="auto" w:fill="auto"/>
            <w:noWrap/>
            <w:vAlign w:val="center"/>
            <w:hideMark/>
          </w:tcPr>
          <w:p w14:paraId="5B4B3A0E"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6FFF08AB"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25FC834E"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311689D7" w14:textId="77777777" w:rsidTr="00B27A98">
        <w:trPr>
          <w:trHeight w:val="300"/>
        </w:trPr>
        <w:tc>
          <w:tcPr>
            <w:tcW w:w="0" w:type="auto"/>
            <w:shd w:val="clear" w:color="000000" w:fill="FFFFFF"/>
            <w:noWrap/>
            <w:vAlign w:val="center"/>
            <w:hideMark/>
          </w:tcPr>
          <w:p w14:paraId="1240265F"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2230199</w:t>
            </w:r>
          </w:p>
        </w:tc>
        <w:tc>
          <w:tcPr>
            <w:tcW w:w="2320" w:type="dxa"/>
            <w:shd w:val="clear" w:color="000000" w:fill="FFFFFF"/>
            <w:noWrap/>
            <w:vAlign w:val="center"/>
            <w:hideMark/>
          </w:tcPr>
          <w:p w14:paraId="420CBFA3"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其他解决历史遗留问题及改革成本支出</w:t>
            </w:r>
          </w:p>
        </w:tc>
        <w:tc>
          <w:tcPr>
            <w:tcW w:w="0" w:type="auto"/>
            <w:shd w:val="clear" w:color="auto" w:fill="auto"/>
            <w:noWrap/>
            <w:vAlign w:val="center"/>
            <w:hideMark/>
          </w:tcPr>
          <w:p w14:paraId="7E20A1BC"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12.12</w:t>
            </w:r>
          </w:p>
        </w:tc>
        <w:tc>
          <w:tcPr>
            <w:tcW w:w="0" w:type="auto"/>
            <w:shd w:val="clear" w:color="auto" w:fill="auto"/>
            <w:noWrap/>
            <w:vAlign w:val="center"/>
            <w:hideMark/>
          </w:tcPr>
          <w:p w14:paraId="44E99B1D"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50F07E14"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12.12</w:t>
            </w:r>
          </w:p>
        </w:tc>
        <w:tc>
          <w:tcPr>
            <w:tcW w:w="0" w:type="auto"/>
            <w:shd w:val="clear" w:color="auto" w:fill="auto"/>
            <w:noWrap/>
            <w:vAlign w:val="center"/>
            <w:hideMark/>
          </w:tcPr>
          <w:p w14:paraId="3521973D"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64B3CE0F"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60F4F98D"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14A75008" w14:textId="77777777" w:rsidTr="00B27A98">
        <w:trPr>
          <w:trHeight w:val="300"/>
        </w:trPr>
        <w:tc>
          <w:tcPr>
            <w:tcW w:w="0" w:type="auto"/>
            <w:shd w:val="clear" w:color="000000" w:fill="FFFFFF"/>
            <w:noWrap/>
            <w:vAlign w:val="center"/>
            <w:hideMark/>
          </w:tcPr>
          <w:p w14:paraId="48B2BAFF"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2299999</w:t>
            </w:r>
          </w:p>
        </w:tc>
        <w:tc>
          <w:tcPr>
            <w:tcW w:w="2320" w:type="dxa"/>
            <w:shd w:val="clear" w:color="000000" w:fill="FFFFFF"/>
            <w:noWrap/>
            <w:vAlign w:val="center"/>
            <w:hideMark/>
          </w:tcPr>
          <w:p w14:paraId="0BBCA3D4"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其他支出</w:t>
            </w:r>
          </w:p>
        </w:tc>
        <w:tc>
          <w:tcPr>
            <w:tcW w:w="0" w:type="auto"/>
            <w:shd w:val="clear" w:color="auto" w:fill="auto"/>
            <w:noWrap/>
            <w:vAlign w:val="center"/>
            <w:hideMark/>
          </w:tcPr>
          <w:p w14:paraId="5EE5B1AA"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964.73</w:t>
            </w:r>
          </w:p>
        </w:tc>
        <w:tc>
          <w:tcPr>
            <w:tcW w:w="0" w:type="auto"/>
            <w:shd w:val="clear" w:color="auto" w:fill="auto"/>
            <w:noWrap/>
            <w:vAlign w:val="center"/>
            <w:hideMark/>
          </w:tcPr>
          <w:p w14:paraId="2CDDA2B2"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4DB75BA2"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964.73</w:t>
            </w:r>
          </w:p>
        </w:tc>
        <w:tc>
          <w:tcPr>
            <w:tcW w:w="0" w:type="auto"/>
            <w:shd w:val="clear" w:color="auto" w:fill="auto"/>
            <w:noWrap/>
            <w:vAlign w:val="center"/>
            <w:hideMark/>
          </w:tcPr>
          <w:p w14:paraId="0E432EF2"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426CAC44"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0" w:type="auto"/>
            <w:shd w:val="clear" w:color="auto" w:fill="auto"/>
            <w:noWrap/>
            <w:vAlign w:val="center"/>
            <w:hideMark/>
          </w:tcPr>
          <w:p w14:paraId="5E1988F0"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6FE47ACD" w14:textId="77777777" w:rsidTr="00B27A98">
        <w:trPr>
          <w:trHeight w:val="300"/>
        </w:trPr>
        <w:tc>
          <w:tcPr>
            <w:tcW w:w="8069" w:type="dxa"/>
            <w:gridSpan w:val="8"/>
            <w:shd w:val="clear" w:color="000000" w:fill="FFFFFF"/>
            <w:noWrap/>
            <w:vAlign w:val="center"/>
            <w:hideMark/>
          </w:tcPr>
          <w:p w14:paraId="71B60B82"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注：本表反映部门本年度各项支出情况。</w:t>
            </w:r>
          </w:p>
        </w:tc>
      </w:tr>
    </w:tbl>
    <w:p w14:paraId="2B47FEFD" w14:textId="77777777" w:rsidR="008215A0" w:rsidRDefault="008215A0" w:rsidP="008215A0"/>
    <w:p w14:paraId="040DF4C6" w14:textId="77777777" w:rsidR="008215A0" w:rsidRDefault="008215A0" w:rsidP="008215A0">
      <w:pPr>
        <w:jc w:val="center"/>
        <w:rPr>
          <w:rFonts w:ascii="黑体" w:eastAsia="黑体" w:hAnsi="黑体"/>
          <w:sz w:val="32"/>
          <w:szCs w:val="32"/>
        </w:rPr>
      </w:pPr>
      <w:r>
        <w:rPr>
          <w:rFonts w:ascii="Times New Roman" w:eastAsia="方正小标宋简体" w:hAnsi="Times New Roman" w:cs="Times New Roman"/>
          <w:kern w:val="0"/>
          <w:sz w:val="44"/>
          <w:szCs w:val="44"/>
        </w:rPr>
        <w:br w:type="page"/>
      </w:r>
      <w:r>
        <w:rPr>
          <w:rFonts w:ascii="黑体" w:eastAsia="黑体" w:hAnsi="黑体" w:hint="eastAsia"/>
          <w:sz w:val="32"/>
          <w:szCs w:val="32"/>
        </w:rPr>
        <w:lastRenderedPageBreak/>
        <w:t>财政拨款收入支出决算总表</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5"/>
        <w:gridCol w:w="457"/>
        <w:gridCol w:w="935"/>
        <w:gridCol w:w="1157"/>
        <w:gridCol w:w="558"/>
        <w:gridCol w:w="1075"/>
        <w:gridCol w:w="1270"/>
        <w:gridCol w:w="1072"/>
        <w:gridCol w:w="1134"/>
      </w:tblGrid>
      <w:tr w:rsidR="008215A0" w:rsidRPr="00CD00FB" w14:paraId="4FD9B393" w14:textId="77777777" w:rsidTr="00B27A98">
        <w:trPr>
          <w:trHeight w:val="300"/>
        </w:trPr>
        <w:tc>
          <w:tcPr>
            <w:tcW w:w="3227" w:type="dxa"/>
            <w:gridSpan w:val="3"/>
            <w:shd w:val="clear" w:color="000000" w:fill="F1F1F1"/>
            <w:noWrap/>
            <w:vAlign w:val="center"/>
            <w:hideMark/>
          </w:tcPr>
          <w:p w14:paraId="267400A3"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收     入</w:t>
            </w:r>
          </w:p>
        </w:tc>
        <w:tc>
          <w:tcPr>
            <w:tcW w:w="6266" w:type="dxa"/>
            <w:gridSpan w:val="6"/>
            <w:shd w:val="clear" w:color="000000" w:fill="F1F1F1"/>
            <w:noWrap/>
            <w:vAlign w:val="center"/>
            <w:hideMark/>
          </w:tcPr>
          <w:p w14:paraId="4B49233D"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支     出</w:t>
            </w:r>
          </w:p>
        </w:tc>
      </w:tr>
      <w:tr w:rsidR="008215A0" w:rsidRPr="00CD00FB" w14:paraId="79D9CC60" w14:textId="77777777" w:rsidTr="00B27A98">
        <w:trPr>
          <w:trHeight w:val="315"/>
        </w:trPr>
        <w:tc>
          <w:tcPr>
            <w:tcW w:w="1835" w:type="dxa"/>
            <w:vMerge w:val="restart"/>
            <w:shd w:val="clear" w:color="000000" w:fill="F1F1F1"/>
            <w:vAlign w:val="center"/>
            <w:hideMark/>
          </w:tcPr>
          <w:p w14:paraId="6DCAF520"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项目</w:t>
            </w:r>
          </w:p>
        </w:tc>
        <w:tc>
          <w:tcPr>
            <w:tcW w:w="457" w:type="dxa"/>
            <w:vMerge w:val="restart"/>
            <w:shd w:val="clear" w:color="000000" w:fill="F1F1F1"/>
            <w:vAlign w:val="center"/>
            <w:hideMark/>
          </w:tcPr>
          <w:p w14:paraId="1E2ACDF4"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行次</w:t>
            </w:r>
          </w:p>
        </w:tc>
        <w:tc>
          <w:tcPr>
            <w:tcW w:w="935" w:type="dxa"/>
            <w:vMerge w:val="restart"/>
            <w:shd w:val="clear" w:color="000000" w:fill="F1F1F1"/>
            <w:vAlign w:val="center"/>
            <w:hideMark/>
          </w:tcPr>
          <w:p w14:paraId="6B2BD0E5"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决算数</w:t>
            </w:r>
          </w:p>
        </w:tc>
        <w:tc>
          <w:tcPr>
            <w:tcW w:w="1157" w:type="dxa"/>
            <w:vMerge w:val="restart"/>
            <w:shd w:val="clear" w:color="000000" w:fill="F1F1F1"/>
            <w:vAlign w:val="center"/>
            <w:hideMark/>
          </w:tcPr>
          <w:p w14:paraId="0AF9D76F"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项目</w:t>
            </w:r>
          </w:p>
        </w:tc>
        <w:tc>
          <w:tcPr>
            <w:tcW w:w="558" w:type="dxa"/>
            <w:vMerge w:val="restart"/>
            <w:shd w:val="clear" w:color="000000" w:fill="F1F1F1"/>
            <w:vAlign w:val="center"/>
            <w:hideMark/>
          </w:tcPr>
          <w:p w14:paraId="2DCA62B7"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行次</w:t>
            </w:r>
          </w:p>
        </w:tc>
        <w:tc>
          <w:tcPr>
            <w:tcW w:w="1075" w:type="dxa"/>
            <w:vMerge w:val="restart"/>
            <w:shd w:val="clear" w:color="000000" w:fill="F1F1F1"/>
            <w:noWrap/>
            <w:vAlign w:val="center"/>
            <w:hideMark/>
          </w:tcPr>
          <w:p w14:paraId="4839D275"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合计</w:t>
            </w:r>
          </w:p>
        </w:tc>
        <w:tc>
          <w:tcPr>
            <w:tcW w:w="1270" w:type="dxa"/>
            <w:vMerge w:val="restart"/>
            <w:shd w:val="clear" w:color="000000" w:fill="F1F1F1"/>
            <w:vAlign w:val="center"/>
            <w:hideMark/>
          </w:tcPr>
          <w:p w14:paraId="6D4BB362"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一般公共预算财政拨款</w:t>
            </w:r>
          </w:p>
        </w:tc>
        <w:tc>
          <w:tcPr>
            <w:tcW w:w="1072" w:type="dxa"/>
            <w:vMerge w:val="restart"/>
            <w:shd w:val="clear" w:color="000000" w:fill="F1F1F1"/>
            <w:vAlign w:val="center"/>
            <w:hideMark/>
          </w:tcPr>
          <w:p w14:paraId="0C2DB17D"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政府性基金预算财政拨款</w:t>
            </w:r>
          </w:p>
        </w:tc>
        <w:tc>
          <w:tcPr>
            <w:tcW w:w="1134" w:type="dxa"/>
            <w:vMerge w:val="restart"/>
            <w:shd w:val="clear" w:color="000000" w:fill="F1F1F1"/>
            <w:vAlign w:val="center"/>
            <w:hideMark/>
          </w:tcPr>
          <w:p w14:paraId="4FFEB7B0"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国有资本经营预算财政拨款</w:t>
            </w:r>
          </w:p>
        </w:tc>
      </w:tr>
      <w:tr w:rsidR="008215A0" w:rsidRPr="00CD00FB" w14:paraId="530C2294" w14:textId="77777777" w:rsidTr="00B27A98">
        <w:trPr>
          <w:trHeight w:val="600"/>
        </w:trPr>
        <w:tc>
          <w:tcPr>
            <w:tcW w:w="1835" w:type="dxa"/>
            <w:vMerge/>
            <w:vAlign w:val="center"/>
            <w:hideMark/>
          </w:tcPr>
          <w:p w14:paraId="33827F3A" w14:textId="77777777" w:rsidR="008215A0" w:rsidRPr="00CD00FB" w:rsidRDefault="008215A0" w:rsidP="00B27A98">
            <w:pPr>
              <w:widowControl/>
              <w:jc w:val="left"/>
              <w:rPr>
                <w:rFonts w:ascii="宋体" w:hAnsi="宋体" w:cs="宋体"/>
                <w:color w:val="000000"/>
                <w:kern w:val="0"/>
                <w:sz w:val="18"/>
                <w:szCs w:val="18"/>
              </w:rPr>
            </w:pPr>
          </w:p>
        </w:tc>
        <w:tc>
          <w:tcPr>
            <w:tcW w:w="457" w:type="dxa"/>
            <w:vMerge/>
            <w:vAlign w:val="center"/>
            <w:hideMark/>
          </w:tcPr>
          <w:p w14:paraId="3057B3C1" w14:textId="77777777" w:rsidR="008215A0" w:rsidRPr="00CD00FB" w:rsidRDefault="008215A0" w:rsidP="00B27A98">
            <w:pPr>
              <w:widowControl/>
              <w:jc w:val="left"/>
              <w:rPr>
                <w:rFonts w:ascii="宋体" w:hAnsi="宋体" w:cs="宋体"/>
                <w:color w:val="000000"/>
                <w:kern w:val="0"/>
                <w:sz w:val="18"/>
                <w:szCs w:val="18"/>
              </w:rPr>
            </w:pPr>
          </w:p>
        </w:tc>
        <w:tc>
          <w:tcPr>
            <w:tcW w:w="935" w:type="dxa"/>
            <w:vMerge/>
            <w:vAlign w:val="center"/>
            <w:hideMark/>
          </w:tcPr>
          <w:p w14:paraId="2F97CB3B" w14:textId="77777777" w:rsidR="008215A0" w:rsidRPr="00CD00FB" w:rsidRDefault="008215A0" w:rsidP="00B27A98">
            <w:pPr>
              <w:widowControl/>
              <w:jc w:val="left"/>
              <w:rPr>
                <w:rFonts w:ascii="宋体" w:hAnsi="宋体" w:cs="宋体"/>
                <w:color w:val="000000"/>
                <w:kern w:val="0"/>
                <w:sz w:val="18"/>
                <w:szCs w:val="18"/>
              </w:rPr>
            </w:pPr>
          </w:p>
        </w:tc>
        <w:tc>
          <w:tcPr>
            <w:tcW w:w="1157" w:type="dxa"/>
            <w:vMerge/>
            <w:vAlign w:val="center"/>
            <w:hideMark/>
          </w:tcPr>
          <w:p w14:paraId="6D5C6149" w14:textId="77777777" w:rsidR="008215A0" w:rsidRPr="00CD00FB" w:rsidRDefault="008215A0" w:rsidP="00B27A98">
            <w:pPr>
              <w:widowControl/>
              <w:jc w:val="left"/>
              <w:rPr>
                <w:rFonts w:ascii="宋体" w:hAnsi="宋体" w:cs="宋体"/>
                <w:color w:val="000000"/>
                <w:kern w:val="0"/>
                <w:sz w:val="18"/>
                <w:szCs w:val="18"/>
              </w:rPr>
            </w:pPr>
          </w:p>
        </w:tc>
        <w:tc>
          <w:tcPr>
            <w:tcW w:w="558" w:type="dxa"/>
            <w:vMerge/>
            <w:vAlign w:val="center"/>
            <w:hideMark/>
          </w:tcPr>
          <w:p w14:paraId="0C0D18F8" w14:textId="77777777" w:rsidR="008215A0" w:rsidRPr="00CD00FB" w:rsidRDefault="008215A0" w:rsidP="00B27A98">
            <w:pPr>
              <w:widowControl/>
              <w:jc w:val="left"/>
              <w:rPr>
                <w:rFonts w:ascii="宋体" w:hAnsi="宋体" w:cs="宋体"/>
                <w:color w:val="000000"/>
                <w:kern w:val="0"/>
                <w:sz w:val="18"/>
                <w:szCs w:val="18"/>
              </w:rPr>
            </w:pPr>
          </w:p>
        </w:tc>
        <w:tc>
          <w:tcPr>
            <w:tcW w:w="1075" w:type="dxa"/>
            <w:vMerge/>
            <w:vAlign w:val="center"/>
            <w:hideMark/>
          </w:tcPr>
          <w:p w14:paraId="6D83A7D9" w14:textId="77777777" w:rsidR="008215A0" w:rsidRPr="00CD00FB" w:rsidRDefault="008215A0" w:rsidP="00B27A98">
            <w:pPr>
              <w:widowControl/>
              <w:jc w:val="left"/>
              <w:rPr>
                <w:rFonts w:ascii="宋体" w:hAnsi="宋体" w:cs="宋体"/>
                <w:color w:val="000000"/>
                <w:kern w:val="0"/>
                <w:sz w:val="18"/>
                <w:szCs w:val="18"/>
              </w:rPr>
            </w:pPr>
          </w:p>
        </w:tc>
        <w:tc>
          <w:tcPr>
            <w:tcW w:w="1270" w:type="dxa"/>
            <w:vMerge/>
            <w:vAlign w:val="center"/>
            <w:hideMark/>
          </w:tcPr>
          <w:p w14:paraId="6ECB3427" w14:textId="77777777" w:rsidR="008215A0" w:rsidRPr="00CD00FB" w:rsidRDefault="008215A0" w:rsidP="00B27A98">
            <w:pPr>
              <w:widowControl/>
              <w:jc w:val="left"/>
              <w:rPr>
                <w:rFonts w:ascii="宋体" w:hAnsi="宋体" w:cs="宋体"/>
                <w:color w:val="000000"/>
                <w:kern w:val="0"/>
                <w:sz w:val="18"/>
                <w:szCs w:val="18"/>
              </w:rPr>
            </w:pPr>
          </w:p>
        </w:tc>
        <w:tc>
          <w:tcPr>
            <w:tcW w:w="1072" w:type="dxa"/>
            <w:vMerge/>
            <w:vAlign w:val="center"/>
            <w:hideMark/>
          </w:tcPr>
          <w:p w14:paraId="049CB3FB" w14:textId="77777777" w:rsidR="008215A0" w:rsidRPr="00CD00FB" w:rsidRDefault="008215A0" w:rsidP="00B27A98">
            <w:pPr>
              <w:widowControl/>
              <w:jc w:val="left"/>
              <w:rPr>
                <w:rFonts w:ascii="宋体" w:hAnsi="宋体" w:cs="宋体"/>
                <w:color w:val="000000"/>
                <w:kern w:val="0"/>
                <w:sz w:val="18"/>
                <w:szCs w:val="18"/>
              </w:rPr>
            </w:pPr>
          </w:p>
        </w:tc>
        <w:tc>
          <w:tcPr>
            <w:tcW w:w="1134" w:type="dxa"/>
            <w:vMerge/>
            <w:vAlign w:val="center"/>
            <w:hideMark/>
          </w:tcPr>
          <w:p w14:paraId="0AB168BF" w14:textId="77777777" w:rsidR="008215A0" w:rsidRPr="00CD00FB" w:rsidRDefault="008215A0" w:rsidP="00B27A98">
            <w:pPr>
              <w:widowControl/>
              <w:jc w:val="left"/>
              <w:rPr>
                <w:rFonts w:ascii="宋体" w:hAnsi="宋体" w:cs="宋体"/>
                <w:color w:val="000000"/>
                <w:kern w:val="0"/>
                <w:sz w:val="18"/>
                <w:szCs w:val="18"/>
              </w:rPr>
            </w:pPr>
          </w:p>
        </w:tc>
      </w:tr>
      <w:tr w:rsidR="008215A0" w:rsidRPr="00CD00FB" w14:paraId="249E9D5B" w14:textId="77777777" w:rsidTr="00B27A98">
        <w:trPr>
          <w:trHeight w:val="300"/>
        </w:trPr>
        <w:tc>
          <w:tcPr>
            <w:tcW w:w="1835" w:type="dxa"/>
            <w:shd w:val="clear" w:color="000000" w:fill="F1F1F1"/>
            <w:noWrap/>
            <w:vAlign w:val="center"/>
            <w:hideMark/>
          </w:tcPr>
          <w:p w14:paraId="139774A4"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栏次</w:t>
            </w:r>
          </w:p>
        </w:tc>
        <w:tc>
          <w:tcPr>
            <w:tcW w:w="457" w:type="dxa"/>
            <w:shd w:val="clear" w:color="000000" w:fill="F1F1F1"/>
            <w:noWrap/>
            <w:vAlign w:val="center"/>
            <w:hideMark/>
          </w:tcPr>
          <w:p w14:paraId="34626822"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935" w:type="dxa"/>
            <w:shd w:val="clear" w:color="000000" w:fill="F1F1F1"/>
            <w:noWrap/>
            <w:vAlign w:val="center"/>
            <w:hideMark/>
          </w:tcPr>
          <w:p w14:paraId="3E41AECD"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1</w:t>
            </w:r>
          </w:p>
        </w:tc>
        <w:tc>
          <w:tcPr>
            <w:tcW w:w="1157" w:type="dxa"/>
            <w:shd w:val="clear" w:color="000000" w:fill="F1F1F1"/>
            <w:noWrap/>
            <w:vAlign w:val="center"/>
            <w:hideMark/>
          </w:tcPr>
          <w:p w14:paraId="78DBCF21"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栏次</w:t>
            </w:r>
          </w:p>
        </w:tc>
        <w:tc>
          <w:tcPr>
            <w:tcW w:w="558" w:type="dxa"/>
            <w:shd w:val="clear" w:color="000000" w:fill="F1F1F1"/>
            <w:noWrap/>
            <w:vAlign w:val="center"/>
            <w:hideMark/>
          </w:tcPr>
          <w:p w14:paraId="23A60AF8"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1075" w:type="dxa"/>
            <w:shd w:val="clear" w:color="000000" w:fill="F1F1F1"/>
            <w:noWrap/>
            <w:vAlign w:val="center"/>
            <w:hideMark/>
          </w:tcPr>
          <w:p w14:paraId="33FF87D0"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2</w:t>
            </w:r>
          </w:p>
        </w:tc>
        <w:tc>
          <w:tcPr>
            <w:tcW w:w="1270" w:type="dxa"/>
            <w:shd w:val="clear" w:color="000000" w:fill="F1F1F1"/>
            <w:noWrap/>
            <w:vAlign w:val="center"/>
            <w:hideMark/>
          </w:tcPr>
          <w:p w14:paraId="6D0A077C"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3</w:t>
            </w:r>
          </w:p>
        </w:tc>
        <w:tc>
          <w:tcPr>
            <w:tcW w:w="1072" w:type="dxa"/>
            <w:shd w:val="clear" w:color="000000" w:fill="F1F1F1"/>
            <w:noWrap/>
            <w:vAlign w:val="center"/>
            <w:hideMark/>
          </w:tcPr>
          <w:p w14:paraId="34CE007B"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4</w:t>
            </w:r>
          </w:p>
        </w:tc>
        <w:tc>
          <w:tcPr>
            <w:tcW w:w="1134" w:type="dxa"/>
            <w:shd w:val="clear" w:color="000000" w:fill="F1F1F1"/>
            <w:noWrap/>
            <w:vAlign w:val="center"/>
            <w:hideMark/>
          </w:tcPr>
          <w:p w14:paraId="5DF53FD4"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5</w:t>
            </w:r>
          </w:p>
        </w:tc>
      </w:tr>
      <w:tr w:rsidR="008215A0" w:rsidRPr="00CD00FB" w14:paraId="372EDF49" w14:textId="77777777" w:rsidTr="00B27A98">
        <w:trPr>
          <w:trHeight w:val="300"/>
        </w:trPr>
        <w:tc>
          <w:tcPr>
            <w:tcW w:w="1835" w:type="dxa"/>
            <w:shd w:val="clear" w:color="000000" w:fill="F1F1F1"/>
            <w:noWrap/>
            <w:vAlign w:val="center"/>
            <w:hideMark/>
          </w:tcPr>
          <w:p w14:paraId="740770C4"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一、一般公共预算财政拨款</w:t>
            </w:r>
          </w:p>
        </w:tc>
        <w:tc>
          <w:tcPr>
            <w:tcW w:w="457" w:type="dxa"/>
            <w:shd w:val="clear" w:color="000000" w:fill="F1F1F1"/>
            <w:noWrap/>
            <w:vAlign w:val="center"/>
            <w:hideMark/>
          </w:tcPr>
          <w:p w14:paraId="5C7DFEB2"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1</w:t>
            </w:r>
          </w:p>
        </w:tc>
        <w:tc>
          <w:tcPr>
            <w:tcW w:w="935" w:type="dxa"/>
            <w:shd w:val="clear" w:color="auto" w:fill="auto"/>
            <w:noWrap/>
            <w:vAlign w:val="center"/>
            <w:hideMark/>
          </w:tcPr>
          <w:p w14:paraId="68A0D74A"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3,243.30</w:t>
            </w:r>
          </w:p>
        </w:tc>
        <w:tc>
          <w:tcPr>
            <w:tcW w:w="1157" w:type="dxa"/>
            <w:shd w:val="clear" w:color="000000" w:fill="F1F1F1"/>
            <w:noWrap/>
            <w:vAlign w:val="center"/>
            <w:hideMark/>
          </w:tcPr>
          <w:p w14:paraId="7D702FE9"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一、一般公共服务支出</w:t>
            </w:r>
          </w:p>
        </w:tc>
        <w:tc>
          <w:tcPr>
            <w:tcW w:w="558" w:type="dxa"/>
            <w:shd w:val="clear" w:color="000000" w:fill="F1F1F1"/>
            <w:noWrap/>
            <w:vAlign w:val="center"/>
            <w:hideMark/>
          </w:tcPr>
          <w:p w14:paraId="53EAEB6A"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33</w:t>
            </w:r>
          </w:p>
        </w:tc>
        <w:tc>
          <w:tcPr>
            <w:tcW w:w="1075" w:type="dxa"/>
            <w:shd w:val="clear" w:color="auto" w:fill="auto"/>
            <w:noWrap/>
            <w:vAlign w:val="center"/>
            <w:hideMark/>
          </w:tcPr>
          <w:p w14:paraId="76561F64"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1,244.35</w:t>
            </w:r>
          </w:p>
        </w:tc>
        <w:tc>
          <w:tcPr>
            <w:tcW w:w="1270" w:type="dxa"/>
            <w:shd w:val="clear" w:color="auto" w:fill="auto"/>
            <w:noWrap/>
            <w:vAlign w:val="center"/>
            <w:hideMark/>
          </w:tcPr>
          <w:p w14:paraId="60FF3005"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1,244.35</w:t>
            </w:r>
          </w:p>
        </w:tc>
        <w:tc>
          <w:tcPr>
            <w:tcW w:w="1072" w:type="dxa"/>
            <w:shd w:val="clear" w:color="auto" w:fill="auto"/>
            <w:noWrap/>
            <w:vAlign w:val="center"/>
            <w:hideMark/>
          </w:tcPr>
          <w:p w14:paraId="38E210D9"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53AD3749"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522EDDB2" w14:textId="77777777" w:rsidTr="00B27A98">
        <w:trPr>
          <w:trHeight w:val="300"/>
        </w:trPr>
        <w:tc>
          <w:tcPr>
            <w:tcW w:w="1835" w:type="dxa"/>
            <w:shd w:val="clear" w:color="000000" w:fill="F1F1F1"/>
            <w:noWrap/>
            <w:vAlign w:val="center"/>
            <w:hideMark/>
          </w:tcPr>
          <w:p w14:paraId="1C38BF59"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二、政府性基金预算财政拨款</w:t>
            </w:r>
          </w:p>
        </w:tc>
        <w:tc>
          <w:tcPr>
            <w:tcW w:w="457" w:type="dxa"/>
            <w:shd w:val="clear" w:color="000000" w:fill="F1F1F1"/>
            <w:noWrap/>
            <w:vAlign w:val="center"/>
            <w:hideMark/>
          </w:tcPr>
          <w:p w14:paraId="48118C47"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2</w:t>
            </w:r>
          </w:p>
        </w:tc>
        <w:tc>
          <w:tcPr>
            <w:tcW w:w="935" w:type="dxa"/>
            <w:shd w:val="clear" w:color="auto" w:fill="auto"/>
            <w:noWrap/>
            <w:vAlign w:val="center"/>
            <w:hideMark/>
          </w:tcPr>
          <w:p w14:paraId="643F5C8D"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6DCE887A"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二、外交支出</w:t>
            </w:r>
          </w:p>
        </w:tc>
        <w:tc>
          <w:tcPr>
            <w:tcW w:w="558" w:type="dxa"/>
            <w:shd w:val="clear" w:color="000000" w:fill="F1F1F1"/>
            <w:noWrap/>
            <w:vAlign w:val="center"/>
            <w:hideMark/>
          </w:tcPr>
          <w:p w14:paraId="2756A8CF"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34</w:t>
            </w:r>
          </w:p>
        </w:tc>
        <w:tc>
          <w:tcPr>
            <w:tcW w:w="1075" w:type="dxa"/>
            <w:shd w:val="clear" w:color="auto" w:fill="auto"/>
            <w:noWrap/>
            <w:vAlign w:val="center"/>
            <w:hideMark/>
          </w:tcPr>
          <w:p w14:paraId="4296C3AC"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270" w:type="dxa"/>
            <w:shd w:val="clear" w:color="auto" w:fill="auto"/>
            <w:noWrap/>
            <w:vAlign w:val="center"/>
            <w:hideMark/>
          </w:tcPr>
          <w:p w14:paraId="2CDD7959"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072" w:type="dxa"/>
            <w:shd w:val="clear" w:color="auto" w:fill="auto"/>
            <w:noWrap/>
            <w:vAlign w:val="center"/>
            <w:hideMark/>
          </w:tcPr>
          <w:p w14:paraId="47851955"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5829AF17"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7CBC6F08" w14:textId="77777777" w:rsidTr="00B27A98">
        <w:trPr>
          <w:trHeight w:val="300"/>
        </w:trPr>
        <w:tc>
          <w:tcPr>
            <w:tcW w:w="1835" w:type="dxa"/>
            <w:shd w:val="clear" w:color="000000" w:fill="F1F1F1"/>
            <w:noWrap/>
            <w:vAlign w:val="center"/>
            <w:hideMark/>
          </w:tcPr>
          <w:p w14:paraId="6AFBD56C"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三、国有资本经营预算财政拨款</w:t>
            </w:r>
          </w:p>
        </w:tc>
        <w:tc>
          <w:tcPr>
            <w:tcW w:w="457" w:type="dxa"/>
            <w:shd w:val="clear" w:color="000000" w:fill="F1F1F1"/>
            <w:noWrap/>
            <w:vAlign w:val="center"/>
            <w:hideMark/>
          </w:tcPr>
          <w:p w14:paraId="5A376F51"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3</w:t>
            </w:r>
          </w:p>
        </w:tc>
        <w:tc>
          <w:tcPr>
            <w:tcW w:w="935" w:type="dxa"/>
            <w:shd w:val="clear" w:color="auto" w:fill="auto"/>
            <w:noWrap/>
            <w:vAlign w:val="center"/>
            <w:hideMark/>
          </w:tcPr>
          <w:p w14:paraId="1BB66399"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12.12</w:t>
            </w:r>
          </w:p>
        </w:tc>
        <w:tc>
          <w:tcPr>
            <w:tcW w:w="1157" w:type="dxa"/>
            <w:shd w:val="clear" w:color="000000" w:fill="F1F1F1"/>
            <w:noWrap/>
            <w:vAlign w:val="center"/>
            <w:hideMark/>
          </w:tcPr>
          <w:p w14:paraId="3F17B102"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三、国防支出</w:t>
            </w:r>
          </w:p>
        </w:tc>
        <w:tc>
          <w:tcPr>
            <w:tcW w:w="558" w:type="dxa"/>
            <w:shd w:val="clear" w:color="000000" w:fill="F1F1F1"/>
            <w:noWrap/>
            <w:vAlign w:val="center"/>
            <w:hideMark/>
          </w:tcPr>
          <w:p w14:paraId="0AEE7E0F"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35</w:t>
            </w:r>
          </w:p>
        </w:tc>
        <w:tc>
          <w:tcPr>
            <w:tcW w:w="1075" w:type="dxa"/>
            <w:shd w:val="clear" w:color="auto" w:fill="auto"/>
            <w:noWrap/>
            <w:vAlign w:val="center"/>
            <w:hideMark/>
          </w:tcPr>
          <w:p w14:paraId="7A66C13D"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270" w:type="dxa"/>
            <w:shd w:val="clear" w:color="auto" w:fill="auto"/>
            <w:noWrap/>
            <w:vAlign w:val="center"/>
            <w:hideMark/>
          </w:tcPr>
          <w:p w14:paraId="53103F6A"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072" w:type="dxa"/>
            <w:shd w:val="clear" w:color="auto" w:fill="auto"/>
            <w:noWrap/>
            <w:vAlign w:val="center"/>
            <w:hideMark/>
          </w:tcPr>
          <w:p w14:paraId="315DA1E5"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7018A69B"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5A5A1DC0" w14:textId="77777777" w:rsidTr="00B27A98">
        <w:trPr>
          <w:trHeight w:val="300"/>
        </w:trPr>
        <w:tc>
          <w:tcPr>
            <w:tcW w:w="1835" w:type="dxa"/>
            <w:shd w:val="clear" w:color="000000" w:fill="F1F1F1"/>
            <w:noWrap/>
            <w:vAlign w:val="center"/>
            <w:hideMark/>
          </w:tcPr>
          <w:p w14:paraId="63FC874E"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457" w:type="dxa"/>
            <w:shd w:val="clear" w:color="000000" w:fill="F1F1F1"/>
            <w:noWrap/>
            <w:vAlign w:val="center"/>
            <w:hideMark/>
          </w:tcPr>
          <w:p w14:paraId="69DFAFD9"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4</w:t>
            </w:r>
          </w:p>
        </w:tc>
        <w:tc>
          <w:tcPr>
            <w:tcW w:w="935" w:type="dxa"/>
            <w:shd w:val="clear" w:color="auto" w:fill="auto"/>
            <w:noWrap/>
            <w:vAlign w:val="center"/>
            <w:hideMark/>
          </w:tcPr>
          <w:p w14:paraId="456A02FB"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0F012749"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四、公共安全支出</w:t>
            </w:r>
          </w:p>
        </w:tc>
        <w:tc>
          <w:tcPr>
            <w:tcW w:w="558" w:type="dxa"/>
            <w:shd w:val="clear" w:color="000000" w:fill="F1F1F1"/>
            <w:noWrap/>
            <w:vAlign w:val="center"/>
            <w:hideMark/>
          </w:tcPr>
          <w:p w14:paraId="3A4CD5AA"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36</w:t>
            </w:r>
          </w:p>
        </w:tc>
        <w:tc>
          <w:tcPr>
            <w:tcW w:w="1075" w:type="dxa"/>
            <w:shd w:val="clear" w:color="auto" w:fill="auto"/>
            <w:noWrap/>
            <w:vAlign w:val="center"/>
            <w:hideMark/>
          </w:tcPr>
          <w:p w14:paraId="30ADB2CD"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270" w:type="dxa"/>
            <w:shd w:val="clear" w:color="auto" w:fill="auto"/>
            <w:noWrap/>
            <w:vAlign w:val="center"/>
            <w:hideMark/>
          </w:tcPr>
          <w:p w14:paraId="12B1265C"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072" w:type="dxa"/>
            <w:shd w:val="clear" w:color="auto" w:fill="auto"/>
            <w:noWrap/>
            <w:vAlign w:val="center"/>
            <w:hideMark/>
          </w:tcPr>
          <w:p w14:paraId="311960A1"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359CC5B9"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1D669373" w14:textId="77777777" w:rsidTr="00B27A98">
        <w:trPr>
          <w:trHeight w:val="300"/>
        </w:trPr>
        <w:tc>
          <w:tcPr>
            <w:tcW w:w="1835" w:type="dxa"/>
            <w:shd w:val="clear" w:color="000000" w:fill="F1F1F1"/>
            <w:noWrap/>
            <w:vAlign w:val="center"/>
            <w:hideMark/>
          </w:tcPr>
          <w:p w14:paraId="4E343CE5"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457" w:type="dxa"/>
            <w:shd w:val="clear" w:color="000000" w:fill="F1F1F1"/>
            <w:noWrap/>
            <w:vAlign w:val="center"/>
            <w:hideMark/>
          </w:tcPr>
          <w:p w14:paraId="4510F77B"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5</w:t>
            </w:r>
          </w:p>
        </w:tc>
        <w:tc>
          <w:tcPr>
            <w:tcW w:w="935" w:type="dxa"/>
            <w:shd w:val="clear" w:color="auto" w:fill="auto"/>
            <w:noWrap/>
            <w:vAlign w:val="center"/>
            <w:hideMark/>
          </w:tcPr>
          <w:p w14:paraId="36F2FECE"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2325E580"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五、教育支出</w:t>
            </w:r>
          </w:p>
        </w:tc>
        <w:tc>
          <w:tcPr>
            <w:tcW w:w="558" w:type="dxa"/>
            <w:shd w:val="clear" w:color="000000" w:fill="F1F1F1"/>
            <w:noWrap/>
            <w:vAlign w:val="center"/>
            <w:hideMark/>
          </w:tcPr>
          <w:p w14:paraId="7FE22FF8"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37</w:t>
            </w:r>
          </w:p>
        </w:tc>
        <w:tc>
          <w:tcPr>
            <w:tcW w:w="1075" w:type="dxa"/>
            <w:shd w:val="clear" w:color="auto" w:fill="auto"/>
            <w:noWrap/>
            <w:vAlign w:val="center"/>
            <w:hideMark/>
          </w:tcPr>
          <w:p w14:paraId="23574072"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270" w:type="dxa"/>
            <w:shd w:val="clear" w:color="auto" w:fill="auto"/>
            <w:noWrap/>
            <w:vAlign w:val="center"/>
            <w:hideMark/>
          </w:tcPr>
          <w:p w14:paraId="655018EC"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072" w:type="dxa"/>
            <w:shd w:val="clear" w:color="auto" w:fill="auto"/>
            <w:noWrap/>
            <w:vAlign w:val="center"/>
            <w:hideMark/>
          </w:tcPr>
          <w:p w14:paraId="4CD908D3"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3D34607E"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5AACAEFB" w14:textId="77777777" w:rsidTr="00B27A98">
        <w:trPr>
          <w:trHeight w:val="300"/>
        </w:trPr>
        <w:tc>
          <w:tcPr>
            <w:tcW w:w="1835" w:type="dxa"/>
            <w:shd w:val="clear" w:color="000000" w:fill="F1F1F1"/>
            <w:noWrap/>
            <w:vAlign w:val="center"/>
            <w:hideMark/>
          </w:tcPr>
          <w:p w14:paraId="033355CF"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457" w:type="dxa"/>
            <w:shd w:val="clear" w:color="000000" w:fill="F1F1F1"/>
            <w:noWrap/>
            <w:vAlign w:val="center"/>
            <w:hideMark/>
          </w:tcPr>
          <w:p w14:paraId="636F8E0F"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6</w:t>
            </w:r>
          </w:p>
        </w:tc>
        <w:tc>
          <w:tcPr>
            <w:tcW w:w="935" w:type="dxa"/>
            <w:shd w:val="clear" w:color="auto" w:fill="auto"/>
            <w:noWrap/>
            <w:vAlign w:val="center"/>
            <w:hideMark/>
          </w:tcPr>
          <w:p w14:paraId="49A9C791"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1159E8A9"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六、科学技术支出</w:t>
            </w:r>
          </w:p>
        </w:tc>
        <w:tc>
          <w:tcPr>
            <w:tcW w:w="558" w:type="dxa"/>
            <w:shd w:val="clear" w:color="000000" w:fill="F1F1F1"/>
            <w:noWrap/>
            <w:vAlign w:val="center"/>
            <w:hideMark/>
          </w:tcPr>
          <w:p w14:paraId="413F4CD9"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38</w:t>
            </w:r>
          </w:p>
        </w:tc>
        <w:tc>
          <w:tcPr>
            <w:tcW w:w="1075" w:type="dxa"/>
            <w:shd w:val="clear" w:color="auto" w:fill="auto"/>
            <w:noWrap/>
            <w:vAlign w:val="center"/>
            <w:hideMark/>
          </w:tcPr>
          <w:p w14:paraId="3473F62D"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270" w:type="dxa"/>
            <w:shd w:val="clear" w:color="auto" w:fill="auto"/>
            <w:noWrap/>
            <w:vAlign w:val="center"/>
            <w:hideMark/>
          </w:tcPr>
          <w:p w14:paraId="5FB7F1EA"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072" w:type="dxa"/>
            <w:shd w:val="clear" w:color="auto" w:fill="auto"/>
            <w:noWrap/>
            <w:vAlign w:val="center"/>
            <w:hideMark/>
          </w:tcPr>
          <w:p w14:paraId="2EC8887B"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5E28B4CB"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63F223AC" w14:textId="77777777" w:rsidTr="00B27A98">
        <w:trPr>
          <w:trHeight w:val="300"/>
        </w:trPr>
        <w:tc>
          <w:tcPr>
            <w:tcW w:w="1835" w:type="dxa"/>
            <w:shd w:val="clear" w:color="000000" w:fill="F1F1F1"/>
            <w:noWrap/>
            <w:vAlign w:val="center"/>
            <w:hideMark/>
          </w:tcPr>
          <w:p w14:paraId="2DC1A7DB"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457" w:type="dxa"/>
            <w:shd w:val="clear" w:color="000000" w:fill="F1F1F1"/>
            <w:noWrap/>
            <w:vAlign w:val="center"/>
            <w:hideMark/>
          </w:tcPr>
          <w:p w14:paraId="795139C6"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7</w:t>
            </w:r>
          </w:p>
        </w:tc>
        <w:tc>
          <w:tcPr>
            <w:tcW w:w="935" w:type="dxa"/>
            <w:shd w:val="clear" w:color="auto" w:fill="auto"/>
            <w:noWrap/>
            <w:vAlign w:val="center"/>
            <w:hideMark/>
          </w:tcPr>
          <w:p w14:paraId="3C224A21"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0A82AEBB"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七、文化旅游体育与传媒支出</w:t>
            </w:r>
          </w:p>
        </w:tc>
        <w:tc>
          <w:tcPr>
            <w:tcW w:w="558" w:type="dxa"/>
            <w:shd w:val="clear" w:color="000000" w:fill="F1F1F1"/>
            <w:noWrap/>
            <w:vAlign w:val="center"/>
            <w:hideMark/>
          </w:tcPr>
          <w:p w14:paraId="5275EE22"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39</w:t>
            </w:r>
          </w:p>
        </w:tc>
        <w:tc>
          <w:tcPr>
            <w:tcW w:w="1075" w:type="dxa"/>
            <w:shd w:val="clear" w:color="auto" w:fill="auto"/>
            <w:noWrap/>
            <w:vAlign w:val="center"/>
            <w:hideMark/>
          </w:tcPr>
          <w:p w14:paraId="113D8305"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270" w:type="dxa"/>
            <w:shd w:val="clear" w:color="auto" w:fill="auto"/>
            <w:noWrap/>
            <w:vAlign w:val="center"/>
            <w:hideMark/>
          </w:tcPr>
          <w:p w14:paraId="7FD8032C"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072" w:type="dxa"/>
            <w:shd w:val="clear" w:color="auto" w:fill="auto"/>
            <w:noWrap/>
            <w:vAlign w:val="center"/>
            <w:hideMark/>
          </w:tcPr>
          <w:p w14:paraId="1CFE9D35"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6EE1B538"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076C7D0F" w14:textId="77777777" w:rsidTr="00B27A98">
        <w:trPr>
          <w:trHeight w:val="300"/>
        </w:trPr>
        <w:tc>
          <w:tcPr>
            <w:tcW w:w="1835" w:type="dxa"/>
            <w:shd w:val="clear" w:color="000000" w:fill="F1F1F1"/>
            <w:noWrap/>
            <w:vAlign w:val="center"/>
            <w:hideMark/>
          </w:tcPr>
          <w:p w14:paraId="5B4F60EA"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457" w:type="dxa"/>
            <w:shd w:val="clear" w:color="000000" w:fill="F1F1F1"/>
            <w:noWrap/>
            <w:vAlign w:val="center"/>
            <w:hideMark/>
          </w:tcPr>
          <w:p w14:paraId="0F45CC46"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8</w:t>
            </w:r>
          </w:p>
        </w:tc>
        <w:tc>
          <w:tcPr>
            <w:tcW w:w="935" w:type="dxa"/>
            <w:shd w:val="clear" w:color="auto" w:fill="auto"/>
            <w:noWrap/>
            <w:vAlign w:val="center"/>
            <w:hideMark/>
          </w:tcPr>
          <w:p w14:paraId="03BA560D"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1E83E22D"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八、社会保障和就业支出</w:t>
            </w:r>
          </w:p>
        </w:tc>
        <w:tc>
          <w:tcPr>
            <w:tcW w:w="558" w:type="dxa"/>
            <w:shd w:val="clear" w:color="000000" w:fill="F1F1F1"/>
            <w:noWrap/>
            <w:vAlign w:val="center"/>
            <w:hideMark/>
          </w:tcPr>
          <w:p w14:paraId="4488ADB1"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40</w:t>
            </w:r>
          </w:p>
        </w:tc>
        <w:tc>
          <w:tcPr>
            <w:tcW w:w="1075" w:type="dxa"/>
            <w:shd w:val="clear" w:color="auto" w:fill="auto"/>
            <w:noWrap/>
            <w:vAlign w:val="center"/>
            <w:hideMark/>
          </w:tcPr>
          <w:p w14:paraId="4A7C34DE"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261.32</w:t>
            </w:r>
          </w:p>
        </w:tc>
        <w:tc>
          <w:tcPr>
            <w:tcW w:w="1270" w:type="dxa"/>
            <w:shd w:val="clear" w:color="auto" w:fill="auto"/>
            <w:noWrap/>
            <w:vAlign w:val="center"/>
            <w:hideMark/>
          </w:tcPr>
          <w:p w14:paraId="1A051320"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261.32</w:t>
            </w:r>
          </w:p>
        </w:tc>
        <w:tc>
          <w:tcPr>
            <w:tcW w:w="1072" w:type="dxa"/>
            <w:shd w:val="clear" w:color="auto" w:fill="auto"/>
            <w:noWrap/>
            <w:vAlign w:val="center"/>
            <w:hideMark/>
          </w:tcPr>
          <w:p w14:paraId="4FBB6A5F"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63EC9DBE"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30274B04" w14:textId="77777777" w:rsidTr="00B27A98">
        <w:trPr>
          <w:trHeight w:val="300"/>
        </w:trPr>
        <w:tc>
          <w:tcPr>
            <w:tcW w:w="1835" w:type="dxa"/>
            <w:shd w:val="clear" w:color="000000" w:fill="F1F1F1"/>
            <w:noWrap/>
            <w:vAlign w:val="center"/>
            <w:hideMark/>
          </w:tcPr>
          <w:p w14:paraId="680665AA"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457" w:type="dxa"/>
            <w:shd w:val="clear" w:color="000000" w:fill="F1F1F1"/>
            <w:noWrap/>
            <w:vAlign w:val="center"/>
            <w:hideMark/>
          </w:tcPr>
          <w:p w14:paraId="587713F5"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9</w:t>
            </w:r>
          </w:p>
        </w:tc>
        <w:tc>
          <w:tcPr>
            <w:tcW w:w="935" w:type="dxa"/>
            <w:shd w:val="clear" w:color="auto" w:fill="auto"/>
            <w:noWrap/>
            <w:vAlign w:val="center"/>
            <w:hideMark/>
          </w:tcPr>
          <w:p w14:paraId="6B4578BD"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6335E996"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九、卫生健康支出</w:t>
            </w:r>
          </w:p>
        </w:tc>
        <w:tc>
          <w:tcPr>
            <w:tcW w:w="558" w:type="dxa"/>
            <w:shd w:val="clear" w:color="000000" w:fill="F1F1F1"/>
            <w:noWrap/>
            <w:vAlign w:val="center"/>
            <w:hideMark/>
          </w:tcPr>
          <w:p w14:paraId="264F144F"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41</w:t>
            </w:r>
          </w:p>
        </w:tc>
        <w:tc>
          <w:tcPr>
            <w:tcW w:w="1075" w:type="dxa"/>
            <w:shd w:val="clear" w:color="auto" w:fill="auto"/>
            <w:noWrap/>
            <w:vAlign w:val="center"/>
            <w:hideMark/>
          </w:tcPr>
          <w:p w14:paraId="42CAD4FE"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53.74</w:t>
            </w:r>
          </w:p>
        </w:tc>
        <w:tc>
          <w:tcPr>
            <w:tcW w:w="1270" w:type="dxa"/>
            <w:shd w:val="clear" w:color="auto" w:fill="auto"/>
            <w:noWrap/>
            <w:vAlign w:val="center"/>
            <w:hideMark/>
          </w:tcPr>
          <w:p w14:paraId="7A59FA3F"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53.74</w:t>
            </w:r>
          </w:p>
        </w:tc>
        <w:tc>
          <w:tcPr>
            <w:tcW w:w="1072" w:type="dxa"/>
            <w:shd w:val="clear" w:color="auto" w:fill="auto"/>
            <w:noWrap/>
            <w:vAlign w:val="center"/>
            <w:hideMark/>
          </w:tcPr>
          <w:p w14:paraId="68E24B41"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4C6DECEE"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7D2C794B" w14:textId="77777777" w:rsidTr="00B27A98">
        <w:trPr>
          <w:trHeight w:val="300"/>
        </w:trPr>
        <w:tc>
          <w:tcPr>
            <w:tcW w:w="1835" w:type="dxa"/>
            <w:shd w:val="clear" w:color="000000" w:fill="F1F1F1"/>
            <w:noWrap/>
            <w:vAlign w:val="center"/>
            <w:hideMark/>
          </w:tcPr>
          <w:p w14:paraId="6E75A926"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457" w:type="dxa"/>
            <w:shd w:val="clear" w:color="000000" w:fill="F1F1F1"/>
            <w:noWrap/>
            <w:vAlign w:val="center"/>
            <w:hideMark/>
          </w:tcPr>
          <w:p w14:paraId="32E708B2"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10</w:t>
            </w:r>
          </w:p>
        </w:tc>
        <w:tc>
          <w:tcPr>
            <w:tcW w:w="935" w:type="dxa"/>
            <w:shd w:val="clear" w:color="auto" w:fill="auto"/>
            <w:noWrap/>
            <w:vAlign w:val="center"/>
            <w:hideMark/>
          </w:tcPr>
          <w:p w14:paraId="64457219"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57371654"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十、节能环保支出</w:t>
            </w:r>
          </w:p>
        </w:tc>
        <w:tc>
          <w:tcPr>
            <w:tcW w:w="558" w:type="dxa"/>
            <w:shd w:val="clear" w:color="000000" w:fill="F1F1F1"/>
            <w:noWrap/>
            <w:vAlign w:val="center"/>
            <w:hideMark/>
          </w:tcPr>
          <w:p w14:paraId="776067E8"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42</w:t>
            </w:r>
          </w:p>
        </w:tc>
        <w:tc>
          <w:tcPr>
            <w:tcW w:w="1075" w:type="dxa"/>
            <w:shd w:val="clear" w:color="auto" w:fill="auto"/>
            <w:noWrap/>
            <w:vAlign w:val="center"/>
            <w:hideMark/>
          </w:tcPr>
          <w:p w14:paraId="487F35DA"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270" w:type="dxa"/>
            <w:shd w:val="clear" w:color="auto" w:fill="auto"/>
            <w:noWrap/>
            <w:vAlign w:val="center"/>
            <w:hideMark/>
          </w:tcPr>
          <w:p w14:paraId="5341CEBA"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072" w:type="dxa"/>
            <w:shd w:val="clear" w:color="auto" w:fill="auto"/>
            <w:noWrap/>
            <w:vAlign w:val="center"/>
            <w:hideMark/>
          </w:tcPr>
          <w:p w14:paraId="1EA489F1"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294CAA42"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78624121" w14:textId="77777777" w:rsidTr="00B27A98">
        <w:trPr>
          <w:trHeight w:val="300"/>
        </w:trPr>
        <w:tc>
          <w:tcPr>
            <w:tcW w:w="1835" w:type="dxa"/>
            <w:shd w:val="clear" w:color="000000" w:fill="F1F1F1"/>
            <w:noWrap/>
            <w:vAlign w:val="center"/>
            <w:hideMark/>
          </w:tcPr>
          <w:p w14:paraId="2E3631DA"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457" w:type="dxa"/>
            <w:shd w:val="clear" w:color="000000" w:fill="F1F1F1"/>
            <w:noWrap/>
            <w:vAlign w:val="center"/>
            <w:hideMark/>
          </w:tcPr>
          <w:p w14:paraId="7023388E"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11</w:t>
            </w:r>
          </w:p>
        </w:tc>
        <w:tc>
          <w:tcPr>
            <w:tcW w:w="935" w:type="dxa"/>
            <w:shd w:val="clear" w:color="auto" w:fill="auto"/>
            <w:noWrap/>
            <w:vAlign w:val="center"/>
            <w:hideMark/>
          </w:tcPr>
          <w:p w14:paraId="123DA0EA"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6152F843"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十一、城乡社区支出</w:t>
            </w:r>
          </w:p>
        </w:tc>
        <w:tc>
          <w:tcPr>
            <w:tcW w:w="558" w:type="dxa"/>
            <w:shd w:val="clear" w:color="000000" w:fill="F1F1F1"/>
            <w:noWrap/>
            <w:vAlign w:val="center"/>
            <w:hideMark/>
          </w:tcPr>
          <w:p w14:paraId="470B1894"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43</w:t>
            </w:r>
          </w:p>
        </w:tc>
        <w:tc>
          <w:tcPr>
            <w:tcW w:w="1075" w:type="dxa"/>
            <w:shd w:val="clear" w:color="auto" w:fill="auto"/>
            <w:noWrap/>
            <w:vAlign w:val="center"/>
            <w:hideMark/>
          </w:tcPr>
          <w:p w14:paraId="0FBAB15F"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270" w:type="dxa"/>
            <w:shd w:val="clear" w:color="auto" w:fill="auto"/>
            <w:noWrap/>
            <w:vAlign w:val="center"/>
            <w:hideMark/>
          </w:tcPr>
          <w:p w14:paraId="0833478E"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072" w:type="dxa"/>
            <w:shd w:val="clear" w:color="auto" w:fill="auto"/>
            <w:noWrap/>
            <w:vAlign w:val="center"/>
            <w:hideMark/>
          </w:tcPr>
          <w:p w14:paraId="324CD559"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48A18B1A"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0386015F" w14:textId="77777777" w:rsidTr="00B27A98">
        <w:trPr>
          <w:trHeight w:val="300"/>
        </w:trPr>
        <w:tc>
          <w:tcPr>
            <w:tcW w:w="1835" w:type="dxa"/>
            <w:shd w:val="clear" w:color="000000" w:fill="F1F1F1"/>
            <w:noWrap/>
            <w:vAlign w:val="center"/>
            <w:hideMark/>
          </w:tcPr>
          <w:p w14:paraId="6C698346"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457" w:type="dxa"/>
            <w:shd w:val="clear" w:color="000000" w:fill="F1F1F1"/>
            <w:noWrap/>
            <w:vAlign w:val="center"/>
            <w:hideMark/>
          </w:tcPr>
          <w:p w14:paraId="26DE110A"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12</w:t>
            </w:r>
          </w:p>
        </w:tc>
        <w:tc>
          <w:tcPr>
            <w:tcW w:w="935" w:type="dxa"/>
            <w:shd w:val="clear" w:color="auto" w:fill="auto"/>
            <w:noWrap/>
            <w:vAlign w:val="center"/>
            <w:hideMark/>
          </w:tcPr>
          <w:p w14:paraId="304062CF"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311B5F30"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十二、农林水支出</w:t>
            </w:r>
          </w:p>
        </w:tc>
        <w:tc>
          <w:tcPr>
            <w:tcW w:w="558" w:type="dxa"/>
            <w:shd w:val="clear" w:color="000000" w:fill="F1F1F1"/>
            <w:noWrap/>
            <w:vAlign w:val="center"/>
            <w:hideMark/>
          </w:tcPr>
          <w:p w14:paraId="021F92ED"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44</w:t>
            </w:r>
          </w:p>
        </w:tc>
        <w:tc>
          <w:tcPr>
            <w:tcW w:w="1075" w:type="dxa"/>
            <w:shd w:val="clear" w:color="auto" w:fill="auto"/>
            <w:noWrap/>
            <w:vAlign w:val="center"/>
            <w:hideMark/>
          </w:tcPr>
          <w:p w14:paraId="10544373"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270" w:type="dxa"/>
            <w:shd w:val="clear" w:color="auto" w:fill="auto"/>
            <w:noWrap/>
            <w:vAlign w:val="center"/>
            <w:hideMark/>
          </w:tcPr>
          <w:p w14:paraId="0BAC52D9"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072" w:type="dxa"/>
            <w:shd w:val="clear" w:color="auto" w:fill="auto"/>
            <w:noWrap/>
            <w:vAlign w:val="center"/>
            <w:hideMark/>
          </w:tcPr>
          <w:p w14:paraId="6CF2FE8F"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411CA8D6"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4876EB48" w14:textId="77777777" w:rsidTr="00B27A98">
        <w:trPr>
          <w:trHeight w:val="300"/>
        </w:trPr>
        <w:tc>
          <w:tcPr>
            <w:tcW w:w="1835" w:type="dxa"/>
            <w:shd w:val="clear" w:color="000000" w:fill="F1F1F1"/>
            <w:noWrap/>
            <w:vAlign w:val="center"/>
            <w:hideMark/>
          </w:tcPr>
          <w:p w14:paraId="46EF5501"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457" w:type="dxa"/>
            <w:shd w:val="clear" w:color="000000" w:fill="F1F1F1"/>
            <w:noWrap/>
            <w:vAlign w:val="center"/>
            <w:hideMark/>
          </w:tcPr>
          <w:p w14:paraId="669CE9BE"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13</w:t>
            </w:r>
          </w:p>
        </w:tc>
        <w:tc>
          <w:tcPr>
            <w:tcW w:w="935" w:type="dxa"/>
            <w:shd w:val="clear" w:color="auto" w:fill="auto"/>
            <w:noWrap/>
            <w:vAlign w:val="center"/>
            <w:hideMark/>
          </w:tcPr>
          <w:p w14:paraId="2CC00AD2"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5E6BEA3C"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十三、交通运输支出</w:t>
            </w:r>
          </w:p>
        </w:tc>
        <w:tc>
          <w:tcPr>
            <w:tcW w:w="558" w:type="dxa"/>
            <w:shd w:val="clear" w:color="000000" w:fill="F1F1F1"/>
            <w:noWrap/>
            <w:vAlign w:val="center"/>
            <w:hideMark/>
          </w:tcPr>
          <w:p w14:paraId="6D05F8BB"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45</w:t>
            </w:r>
          </w:p>
        </w:tc>
        <w:tc>
          <w:tcPr>
            <w:tcW w:w="1075" w:type="dxa"/>
            <w:shd w:val="clear" w:color="auto" w:fill="auto"/>
            <w:noWrap/>
            <w:vAlign w:val="center"/>
            <w:hideMark/>
          </w:tcPr>
          <w:p w14:paraId="1923FE38"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270" w:type="dxa"/>
            <w:shd w:val="clear" w:color="auto" w:fill="auto"/>
            <w:noWrap/>
            <w:vAlign w:val="center"/>
            <w:hideMark/>
          </w:tcPr>
          <w:p w14:paraId="14DC6D8F"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072" w:type="dxa"/>
            <w:shd w:val="clear" w:color="auto" w:fill="auto"/>
            <w:noWrap/>
            <w:vAlign w:val="center"/>
            <w:hideMark/>
          </w:tcPr>
          <w:p w14:paraId="6763B7CD"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778F1DCB"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2724EAD2" w14:textId="77777777" w:rsidTr="00B27A98">
        <w:trPr>
          <w:trHeight w:val="300"/>
        </w:trPr>
        <w:tc>
          <w:tcPr>
            <w:tcW w:w="1835" w:type="dxa"/>
            <w:shd w:val="clear" w:color="000000" w:fill="F1F1F1"/>
            <w:noWrap/>
            <w:vAlign w:val="center"/>
            <w:hideMark/>
          </w:tcPr>
          <w:p w14:paraId="152D10C9"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457" w:type="dxa"/>
            <w:shd w:val="clear" w:color="000000" w:fill="F1F1F1"/>
            <w:noWrap/>
            <w:vAlign w:val="center"/>
            <w:hideMark/>
          </w:tcPr>
          <w:p w14:paraId="7CE9AA82"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14</w:t>
            </w:r>
          </w:p>
        </w:tc>
        <w:tc>
          <w:tcPr>
            <w:tcW w:w="935" w:type="dxa"/>
            <w:shd w:val="clear" w:color="auto" w:fill="auto"/>
            <w:noWrap/>
            <w:vAlign w:val="center"/>
            <w:hideMark/>
          </w:tcPr>
          <w:p w14:paraId="2B3F45F9"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356C27F7"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十四、资源勘探工业信息等支出</w:t>
            </w:r>
          </w:p>
        </w:tc>
        <w:tc>
          <w:tcPr>
            <w:tcW w:w="558" w:type="dxa"/>
            <w:shd w:val="clear" w:color="000000" w:fill="F1F1F1"/>
            <w:noWrap/>
            <w:vAlign w:val="center"/>
            <w:hideMark/>
          </w:tcPr>
          <w:p w14:paraId="114605A7"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46</w:t>
            </w:r>
          </w:p>
        </w:tc>
        <w:tc>
          <w:tcPr>
            <w:tcW w:w="1075" w:type="dxa"/>
            <w:shd w:val="clear" w:color="auto" w:fill="auto"/>
            <w:noWrap/>
            <w:vAlign w:val="center"/>
            <w:hideMark/>
          </w:tcPr>
          <w:p w14:paraId="46537FC1"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270" w:type="dxa"/>
            <w:shd w:val="clear" w:color="auto" w:fill="auto"/>
            <w:noWrap/>
            <w:vAlign w:val="center"/>
            <w:hideMark/>
          </w:tcPr>
          <w:p w14:paraId="0C58EFC6"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072" w:type="dxa"/>
            <w:shd w:val="clear" w:color="auto" w:fill="auto"/>
            <w:noWrap/>
            <w:vAlign w:val="center"/>
            <w:hideMark/>
          </w:tcPr>
          <w:p w14:paraId="4AF33E8B"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70B33C80"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3F9B71FC" w14:textId="77777777" w:rsidTr="00B27A98">
        <w:trPr>
          <w:trHeight w:val="300"/>
        </w:trPr>
        <w:tc>
          <w:tcPr>
            <w:tcW w:w="1835" w:type="dxa"/>
            <w:shd w:val="clear" w:color="000000" w:fill="F1F1F1"/>
            <w:noWrap/>
            <w:vAlign w:val="center"/>
            <w:hideMark/>
          </w:tcPr>
          <w:p w14:paraId="4E51388E"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457" w:type="dxa"/>
            <w:shd w:val="clear" w:color="000000" w:fill="F1F1F1"/>
            <w:noWrap/>
            <w:vAlign w:val="center"/>
            <w:hideMark/>
          </w:tcPr>
          <w:p w14:paraId="1CF37741"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15</w:t>
            </w:r>
          </w:p>
        </w:tc>
        <w:tc>
          <w:tcPr>
            <w:tcW w:w="935" w:type="dxa"/>
            <w:shd w:val="clear" w:color="auto" w:fill="auto"/>
            <w:noWrap/>
            <w:vAlign w:val="center"/>
            <w:hideMark/>
          </w:tcPr>
          <w:p w14:paraId="4332C005"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0CFD5DA1"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十五、商业服务业等支出</w:t>
            </w:r>
          </w:p>
        </w:tc>
        <w:tc>
          <w:tcPr>
            <w:tcW w:w="558" w:type="dxa"/>
            <w:shd w:val="clear" w:color="000000" w:fill="F1F1F1"/>
            <w:noWrap/>
            <w:vAlign w:val="center"/>
            <w:hideMark/>
          </w:tcPr>
          <w:p w14:paraId="6EFDACD9"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47</w:t>
            </w:r>
          </w:p>
        </w:tc>
        <w:tc>
          <w:tcPr>
            <w:tcW w:w="1075" w:type="dxa"/>
            <w:shd w:val="clear" w:color="auto" w:fill="auto"/>
            <w:noWrap/>
            <w:vAlign w:val="center"/>
            <w:hideMark/>
          </w:tcPr>
          <w:p w14:paraId="14DCE5FD"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270" w:type="dxa"/>
            <w:shd w:val="clear" w:color="auto" w:fill="auto"/>
            <w:noWrap/>
            <w:vAlign w:val="center"/>
            <w:hideMark/>
          </w:tcPr>
          <w:p w14:paraId="796FD6C6"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072" w:type="dxa"/>
            <w:shd w:val="clear" w:color="auto" w:fill="auto"/>
            <w:noWrap/>
            <w:vAlign w:val="center"/>
            <w:hideMark/>
          </w:tcPr>
          <w:p w14:paraId="528F6F27"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63A80382"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3AD5C4C6" w14:textId="77777777" w:rsidTr="00B27A98">
        <w:trPr>
          <w:trHeight w:val="300"/>
        </w:trPr>
        <w:tc>
          <w:tcPr>
            <w:tcW w:w="1835" w:type="dxa"/>
            <w:shd w:val="clear" w:color="000000" w:fill="F1F1F1"/>
            <w:noWrap/>
            <w:vAlign w:val="center"/>
            <w:hideMark/>
          </w:tcPr>
          <w:p w14:paraId="4970AFA1"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457" w:type="dxa"/>
            <w:shd w:val="clear" w:color="000000" w:fill="F1F1F1"/>
            <w:noWrap/>
            <w:vAlign w:val="center"/>
            <w:hideMark/>
          </w:tcPr>
          <w:p w14:paraId="030EA097"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16</w:t>
            </w:r>
          </w:p>
        </w:tc>
        <w:tc>
          <w:tcPr>
            <w:tcW w:w="935" w:type="dxa"/>
            <w:shd w:val="clear" w:color="auto" w:fill="auto"/>
            <w:noWrap/>
            <w:vAlign w:val="center"/>
            <w:hideMark/>
          </w:tcPr>
          <w:p w14:paraId="63335FF3"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44F4D5BB"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十六、金融支出</w:t>
            </w:r>
          </w:p>
        </w:tc>
        <w:tc>
          <w:tcPr>
            <w:tcW w:w="558" w:type="dxa"/>
            <w:shd w:val="clear" w:color="000000" w:fill="F1F1F1"/>
            <w:noWrap/>
            <w:vAlign w:val="center"/>
            <w:hideMark/>
          </w:tcPr>
          <w:p w14:paraId="7FB8395A"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48</w:t>
            </w:r>
          </w:p>
        </w:tc>
        <w:tc>
          <w:tcPr>
            <w:tcW w:w="1075" w:type="dxa"/>
            <w:shd w:val="clear" w:color="auto" w:fill="auto"/>
            <w:noWrap/>
            <w:vAlign w:val="center"/>
            <w:hideMark/>
          </w:tcPr>
          <w:p w14:paraId="597D2A67"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270" w:type="dxa"/>
            <w:shd w:val="clear" w:color="auto" w:fill="auto"/>
            <w:noWrap/>
            <w:vAlign w:val="center"/>
            <w:hideMark/>
          </w:tcPr>
          <w:p w14:paraId="31D0A33C"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072" w:type="dxa"/>
            <w:shd w:val="clear" w:color="auto" w:fill="auto"/>
            <w:noWrap/>
            <w:vAlign w:val="center"/>
            <w:hideMark/>
          </w:tcPr>
          <w:p w14:paraId="2C130B44"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71A3FAB4"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099470A0" w14:textId="77777777" w:rsidTr="00B27A98">
        <w:trPr>
          <w:trHeight w:val="300"/>
        </w:trPr>
        <w:tc>
          <w:tcPr>
            <w:tcW w:w="1835" w:type="dxa"/>
            <w:shd w:val="clear" w:color="000000" w:fill="F1F1F1"/>
            <w:noWrap/>
            <w:vAlign w:val="center"/>
            <w:hideMark/>
          </w:tcPr>
          <w:p w14:paraId="35EAC3A9"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lastRenderedPageBreak/>
              <w:t xml:space="preserve">　</w:t>
            </w:r>
          </w:p>
        </w:tc>
        <w:tc>
          <w:tcPr>
            <w:tcW w:w="457" w:type="dxa"/>
            <w:shd w:val="clear" w:color="000000" w:fill="F1F1F1"/>
            <w:noWrap/>
            <w:vAlign w:val="center"/>
            <w:hideMark/>
          </w:tcPr>
          <w:p w14:paraId="0A60FB2C"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17</w:t>
            </w:r>
          </w:p>
        </w:tc>
        <w:tc>
          <w:tcPr>
            <w:tcW w:w="935" w:type="dxa"/>
            <w:shd w:val="clear" w:color="auto" w:fill="auto"/>
            <w:noWrap/>
            <w:vAlign w:val="center"/>
            <w:hideMark/>
          </w:tcPr>
          <w:p w14:paraId="4590731E"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519D1F36"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十七、援助其他地区支出</w:t>
            </w:r>
          </w:p>
        </w:tc>
        <w:tc>
          <w:tcPr>
            <w:tcW w:w="558" w:type="dxa"/>
            <w:shd w:val="clear" w:color="000000" w:fill="F1F1F1"/>
            <w:noWrap/>
            <w:vAlign w:val="center"/>
            <w:hideMark/>
          </w:tcPr>
          <w:p w14:paraId="13C3483E"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49</w:t>
            </w:r>
          </w:p>
        </w:tc>
        <w:tc>
          <w:tcPr>
            <w:tcW w:w="1075" w:type="dxa"/>
            <w:shd w:val="clear" w:color="auto" w:fill="auto"/>
            <w:noWrap/>
            <w:vAlign w:val="center"/>
            <w:hideMark/>
          </w:tcPr>
          <w:p w14:paraId="45B71C09"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270" w:type="dxa"/>
            <w:shd w:val="clear" w:color="auto" w:fill="auto"/>
            <w:noWrap/>
            <w:vAlign w:val="center"/>
            <w:hideMark/>
          </w:tcPr>
          <w:p w14:paraId="1CBB50E0"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072" w:type="dxa"/>
            <w:shd w:val="clear" w:color="auto" w:fill="auto"/>
            <w:noWrap/>
            <w:vAlign w:val="center"/>
            <w:hideMark/>
          </w:tcPr>
          <w:p w14:paraId="591A5F6A"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63CB4EA1"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5232BA1B" w14:textId="77777777" w:rsidTr="00B27A98">
        <w:trPr>
          <w:trHeight w:val="300"/>
        </w:trPr>
        <w:tc>
          <w:tcPr>
            <w:tcW w:w="1835" w:type="dxa"/>
            <w:shd w:val="clear" w:color="000000" w:fill="F1F1F1"/>
            <w:noWrap/>
            <w:vAlign w:val="center"/>
            <w:hideMark/>
          </w:tcPr>
          <w:p w14:paraId="1EB16073"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457" w:type="dxa"/>
            <w:shd w:val="clear" w:color="000000" w:fill="F1F1F1"/>
            <w:noWrap/>
            <w:vAlign w:val="center"/>
            <w:hideMark/>
          </w:tcPr>
          <w:p w14:paraId="15CDE9B5"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18</w:t>
            </w:r>
          </w:p>
        </w:tc>
        <w:tc>
          <w:tcPr>
            <w:tcW w:w="935" w:type="dxa"/>
            <w:shd w:val="clear" w:color="auto" w:fill="auto"/>
            <w:noWrap/>
            <w:vAlign w:val="center"/>
            <w:hideMark/>
          </w:tcPr>
          <w:p w14:paraId="178B74A3"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5C064750"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十八、自然资源海洋气象等支出</w:t>
            </w:r>
          </w:p>
        </w:tc>
        <w:tc>
          <w:tcPr>
            <w:tcW w:w="558" w:type="dxa"/>
            <w:shd w:val="clear" w:color="000000" w:fill="F1F1F1"/>
            <w:noWrap/>
            <w:vAlign w:val="center"/>
            <w:hideMark/>
          </w:tcPr>
          <w:p w14:paraId="77EAA771"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50</w:t>
            </w:r>
          </w:p>
        </w:tc>
        <w:tc>
          <w:tcPr>
            <w:tcW w:w="1075" w:type="dxa"/>
            <w:shd w:val="clear" w:color="auto" w:fill="auto"/>
            <w:noWrap/>
            <w:vAlign w:val="center"/>
            <w:hideMark/>
          </w:tcPr>
          <w:p w14:paraId="0026A306"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270" w:type="dxa"/>
            <w:shd w:val="clear" w:color="auto" w:fill="auto"/>
            <w:noWrap/>
            <w:vAlign w:val="center"/>
            <w:hideMark/>
          </w:tcPr>
          <w:p w14:paraId="6548D227"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072" w:type="dxa"/>
            <w:shd w:val="clear" w:color="auto" w:fill="auto"/>
            <w:noWrap/>
            <w:vAlign w:val="center"/>
            <w:hideMark/>
          </w:tcPr>
          <w:p w14:paraId="35B30C1E"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30E4BCFB"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3564F46A" w14:textId="77777777" w:rsidTr="00B27A98">
        <w:trPr>
          <w:trHeight w:val="300"/>
        </w:trPr>
        <w:tc>
          <w:tcPr>
            <w:tcW w:w="1835" w:type="dxa"/>
            <w:shd w:val="clear" w:color="000000" w:fill="F1F1F1"/>
            <w:noWrap/>
            <w:vAlign w:val="center"/>
            <w:hideMark/>
          </w:tcPr>
          <w:p w14:paraId="7F1A7E3D"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457" w:type="dxa"/>
            <w:shd w:val="clear" w:color="000000" w:fill="F1F1F1"/>
            <w:noWrap/>
            <w:vAlign w:val="center"/>
            <w:hideMark/>
          </w:tcPr>
          <w:p w14:paraId="3669E199"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19</w:t>
            </w:r>
          </w:p>
        </w:tc>
        <w:tc>
          <w:tcPr>
            <w:tcW w:w="935" w:type="dxa"/>
            <w:shd w:val="clear" w:color="auto" w:fill="auto"/>
            <w:noWrap/>
            <w:vAlign w:val="center"/>
            <w:hideMark/>
          </w:tcPr>
          <w:p w14:paraId="170072BE"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073E936E"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十九、住房保障支出</w:t>
            </w:r>
          </w:p>
        </w:tc>
        <w:tc>
          <w:tcPr>
            <w:tcW w:w="558" w:type="dxa"/>
            <w:shd w:val="clear" w:color="000000" w:fill="F1F1F1"/>
            <w:noWrap/>
            <w:vAlign w:val="center"/>
            <w:hideMark/>
          </w:tcPr>
          <w:p w14:paraId="06AAA37A"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51</w:t>
            </w:r>
          </w:p>
        </w:tc>
        <w:tc>
          <w:tcPr>
            <w:tcW w:w="1075" w:type="dxa"/>
            <w:shd w:val="clear" w:color="auto" w:fill="auto"/>
            <w:noWrap/>
            <w:vAlign w:val="center"/>
            <w:hideMark/>
          </w:tcPr>
          <w:p w14:paraId="5B4E41DB"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124.12</w:t>
            </w:r>
          </w:p>
        </w:tc>
        <w:tc>
          <w:tcPr>
            <w:tcW w:w="1270" w:type="dxa"/>
            <w:shd w:val="clear" w:color="auto" w:fill="auto"/>
            <w:noWrap/>
            <w:vAlign w:val="center"/>
            <w:hideMark/>
          </w:tcPr>
          <w:p w14:paraId="644153C9"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124.12</w:t>
            </w:r>
          </w:p>
        </w:tc>
        <w:tc>
          <w:tcPr>
            <w:tcW w:w="1072" w:type="dxa"/>
            <w:shd w:val="clear" w:color="auto" w:fill="auto"/>
            <w:noWrap/>
            <w:vAlign w:val="center"/>
            <w:hideMark/>
          </w:tcPr>
          <w:p w14:paraId="39382F12"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3B729257"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6EAF19E6" w14:textId="77777777" w:rsidTr="00B27A98">
        <w:trPr>
          <w:trHeight w:val="300"/>
        </w:trPr>
        <w:tc>
          <w:tcPr>
            <w:tcW w:w="1835" w:type="dxa"/>
            <w:shd w:val="clear" w:color="000000" w:fill="F1F1F1"/>
            <w:noWrap/>
            <w:vAlign w:val="center"/>
            <w:hideMark/>
          </w:tcPr>
          <w:p w14:paraId="7D01540E"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457" w:type="dxa"/>
            <w:shd w:val="clear" w:color="000000" w:fill="F1F1F1"/>
            <w:noWrap/>
            <w:vAlign w:val="center"/>
            <w:hideMark/>
          </w:tcPr>
          <w:p w14:paraId="37029D37"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20</w:t>
            </w:r>
          </w:p>
        </w:tc>
        <w:tc>
          <w:tcPr>
            <w:tcW w:w="935" w:type="dxa"/>
            <w:shd w:val="clear" w:color="auto" w:fill="auto"/>
            <w:noWrap/>
            <w:vAlign w:val="center"/>
            <w:hideMark/>
          </w:tcPr>
          <w:p w14:paraId="7A5611D5"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52F703D3"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二十、粮油物资储备支出</w:t>
            </w:r>
          </w:p>
        </w:tc>
        <w:tc>
          <w:tcPr>
            <w:tcW w:w="558" w:type="dxa"/>
            <w:shd w:val="clear" w:color="000000" w:fill="F1F1F1"/>
            <w:noWrap/>
            <w:vAlign w:val="center"/>
            <w:hideMark/>
          </w:tcPr>
          <w:p w14:paraId="695AA1C6"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52</w:t>
            </w:r>
          </w:p>
        </w:tc>
        <w:tc>
          <w:tcPr>
            <w:tcW w:w="1075" w:type="dxa"/>
            <w:shd w:val="clear" w:color="auto" w:fill="auto"/>
            <w:noWrap/>
            <w:vAlign w:val="center"/>
            <w:hideMark/>
          </w:tcPr>
          <w:p w14:paraId="54FD06E4"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595.00</w:t>
            </w:r>
          </w:p>
        </w:tc>
        <w:tc>
          <w:tcPr>
            <w:tcW w:w="1270" w:type="dxa"/>
            <w:shd w:val="clear" w:color="auto" w:fill="auto"/>
            <w:noWrap/>
            <w:vAlign w:val="center"/>
            <w:hideMark/>
          </w:tcPr>
          <w:p w14:paraId="09FE2A21"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595.00</w:t>
            </w:r>
          </w:p>
        </w:tc>
        <w:tc>
          <w:tcPr>
            <w:tcW w:w="1072" w:type="dxa"/>
            <w:shd w:val="clear" w:color="auto" w:fill="auto"/>
            <w:noWrap/>
            <w:vAlign w:val="center"/>
            <w:hideMark/>
          </w:tcPr>
          <w:p w14:paraId="76A2EA88"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630C6C99"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0817928F" w14:textId="77777777" w:rsidTr="00B27A98">
        <w:trPr>
          <w:trHeight w:val="300"/>
        </w:trPr>
        <w:tc>
          <w:tcPr>
            <w:tcW w:w="1835" w:type="dxa"/>
            <w:shd w:val="clear" w:color="000000" w:fill="F1F1F1"/>
            <w:noWrap/>
            <w:vAlign w:val="center"/>
            <w:hideMark/>
          </w:tcPr>
          <w:p w14:paraId="4E81711C"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457" w:type="dxa"/>
            <w:shd w:val="clear" w:color="000000" w:fill="F1F1F1"/>
            <w:noWrap/>
            <w:vAlign w:val="center"/>
            <w:hideMark/>
          </w:tcPr>
          <w:p w14:paraId="56DD1005"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21</w:t>
            </w:r>
          </w:p>
        </w:tc>
        <w:tc>
          <w:tcPr>
            <w:tcW w:w="935" w:type="dxa"/>
            <w:shd w:val="clear" w:color="auto" w:fill="auto"/>
            <w:noWrap/>
            <w:vAlign w:val="center"/>
            <w:hideMark/>
          </w:tcPr>
          <w:p w14:paraId="79BC6947"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4C1FC459"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二十一、国有资本经营预算支出</w:t>
            </w:r>
          </w:p>
        </w:tc>
        <w:tc>
          <w:tcPr>
            <w:tcW w:w="558" w:type="dxa"/>
            <w:shd w:val="clear" w:color="000000" w:fill="F1F1F1"/>
            <w:noWrap/>
            <w:vAlign w:val="center"/>
            <w:hideMark/>
          </w:tcPr>
          <w:p w14:paraId="79BC7866"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53</w:t>
            </w:r>
          </w:p>
        </w:tc>
        <w:tc>
          <w:tcPr>
            <w:tcW w:w="1075" w:type="dxa"/>
            <w:shd w:val="clear" w:color="auto" w:fill="auto"/>
            <w:noWrap/>
            <w:vAlign w:val="center"/>
            <w:hideMark/>
          </w:tcPr>
          <w:p w14:paraId="4E63DABD"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12.12</w:t>
            </w:r>
          </w:p>
        </w:tc>
        <w:tc>
          <w:tcPr>
            <w:tcW w:w="1270" w:type="dxa"/>
            <w:shd w:val="clear" w:color="auto" w:fill="auto"/>
            <w:noWrap/>
            <w:vAlign w:val="center"/>
            <w:hideMark/>
          </w:tcPr>
          <w:p w14:paraId="67CB5DE6"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072" w:type="dxa"/>
            <w:shd w:val="clear" w:color="auto" w:fill="auto"/>
            <w:noWrap/>
            <w:vAlign w:val="center"/>
            <w:hideMark/>
          </w:tcPr>
          <w:p w14:paraId="7FDE2734"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0892F041"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12.12</w:t>
            </w:r>
          </w:p>
        </w:tc>
      </w:tr>
      <w:tr w:rsidR="008215A0" w:rsidRPr="00CD00FB" w14:paraId="7DFBBF13" w14:textId="77777777" w:rsidTr="00B27A98">
        <w:trPr>
          <w:trHeight w:val="300"/>
        </w:trPr>
        <w:tc>
          <w:tcPr>
            <w:tcW w:w="1835" w:type="dxa"/>
            <w:shd w:val="clear" w:color="000000" w:fill="F1F1F1"/>
            <w:noWrap/>
            <w:vAlign w:val="center"/>
            <w:hideMark/>
          </w:tcPr>
          <w:p w14:paraId="0B5E1A1F"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457" w:type="dxa"/>
            <w:shd w:val="clear" w:color="000000" w:fill="F1F1F1"/>
            <w:noWrap/>
            <w:vAlign w:val="center"/>
            <w:hideMark/>
          </w:tcPr>
          <w:p w14:paraId="341CC425"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22</w:t>
            </w:r>
          </w:p>
        </w:tc>
        <w:tc>
          <w:tcPr>
            <w:tcW w:w="935" w:type="dxa"/>
            <w:shd w:val="clear" w:color="auto" w:fill="auto"/>
            <w:noWrap/>
            <w:vAlign w:val="center"/>
            <w:hideMark/>
          </w:tcPr>
          <w:p w14:paraId="4E9D91B6"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0DEBDDE5"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二十二、灾害防治及应急管理支出</w:t>
            </w:r>
          </w:p>
        </w:tc>
        <w:tc>
          <w:tcPr>
            <w:tcW w:w="558" w:type="dxa"/>
            <w:shd w:val="clear" w:color="000000" w:fill="F1F1F1"/>
            <w:noWrap/>
            <w:vAlign w:val="center"/>
            <w:hideMark/>
          </w:tcPr>
          <w:p w14:paraId="2CAC4773"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54</w:t>
            </w:r>
          </w:p>
        </w:tc>
        <w:tc>
          <w:tcPr>
            <w:tcW w:w="1075" w:type="dxa"/>
            <w:shd w:val="clear" w:color="auto" w:fill="auto"/>
            <w:noWrap/>
            <w:vAlign w:val="center"/>
            <w:hideMark/>
          </w:tcPr>
          <w:p w14:paraId="683DD586"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270" w:type="dxa"/>
            <w:shd w:val="clear" w:color="auto" w:fill="auto"/>
            <w:noWrap/>
            <w:vAlign w:val="center"/>
            <w:hideMark/>
          </w:tcPr>
          <w:p w14:paraId="27357236"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072" w:type="dxa"/>
            <w:shd w:val="clear" w:color="auto" w:fill="auto"/>
            <w:noWrap/>
            <w:vAlign w:val="center"/>
            <w:hideMark/>
          </w:tcPr>
          <w:p w14:paraId="486B571C"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58F9B0AD"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16FB054F" w14:textId="77777777" w:rsidTr="00B27A98">
        <w:trPr>
          <w:trHeight w:val="300"/>
        </w:trPr>
        <w:tc>
          <w:tcPr>
            <w:tcW w:w="1835" w:type="dxa"/>
            <w:shd w:val="clear" w:color="000000" w:fill="F1F1F1"/>
            <w:noWrap/>
            <w:vAlign w:val="center"/>
            <w:hideMark/>
          </w:tcPr>
          <w:p w14:paraId="3DDE4120"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457" w:type="dxa"/>
            <w:shd w:val="clear" w:color="000000" w:fill="F1F1F1"/>
            <w:noWrap/>
            <w:vAlign w:val="center"/>
            <w:hideMark/>
          </w:tcPr>
          <w:p w14:paraId="127540F8"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23</w:t>
            </w:r>
          </w:p>
        </w:tc>
        <w:tc>
          <w:tcPr>
            <w:tcW w:w="935" w:type="dxa"/>
            <w:shd w:val="clear" w:color="auto" w:fill="auto"/>
            <w:noWrap/>
            <w:vAlign w:val="center"/>
            <w:hideMark/>
          </w:tcPr>
          <w:p w14:paraId="374A237D"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3240517F"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二十三、其他支出</w:t>
            </w:r>
          </w:p>
        </w:tc>
        <w:tc>
          <w:tcPr>
            <w:tcW w:w="558" w:type="dxa"/>
            <w:shd w:val="clear" w:color="000000" w:fill="F1F1F1"/>
            <w:noWrap/>
            <w:vAlign w:val="center"/>
            <w:hideMark/>
          </w:tcPr>
          <w:p w14:paraId="68833BDE"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55</w:t>
            </w:r>
          </w:p>
        </w:tc>
        <w:tc>
          <w:tcPr>
            <w:tcW w:w="1075" w:type="dxa"/>
            <w:shd w:val="clear" w:color="auto" w:fill="auto"/>
            <w:noWrap/>
            <w:vAlign w:val="center"/>
            <w:hideMark/>
          </w:tcPr>
          <w:p w14:paraId="0D9C9F79"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964.73</w:t>
            </w:r>
          </w:p>
        </w:tc>
        <w:tc>
          <w:tcPr>
            <w:tcW w:w="1270" w:type="dxa"/>
            <w:shd w:val="clear" w:color="auto" w:fill="auto"/>
            <w:noWrap/>
            <w:vAlign w:val="center"/>
            <w:hideMark/>
          </w:tcPr>
          <w:p w14:paraId="4C9EA70B"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964.73</w:t>
            </w:r>
          </w:p>
        </w:tc>
        <w:tc>
          <w:tcPr>
            <w:tcW w:w="1072" w:type="dxa"/>
            <w:shd w:val="clear" w:color="auto" w:fill="auto"/>
            <w:noWrap/>
            <w:vAlign w:val="center"/>
            <w:hideMark/>
          </w:tcPr>
          <w:p w14:paraId="7D7B32C6"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7A57D7B4"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5C3AEEB3" w14:textId="77777777" w:rsidTr="00B27A98">
        <w:trPr>
          <w:trHeight w:val="300"/>
        </w:trPr>
        <w:tc>
          <w:tcPr>
            <w:tcW w:w="1835" w:type="dxa"/>
            <w:shd w:val="clear" w:color="000000" w:fill="F1F1F1"/>
            <w:noWrap/>
            <w:vAlign w:val="center"/>
            <w:hideMark/>
          </w:tcPr>
          <w:p w14:paraId="37077759" w14:textId="77777777" w:rsidR="008215A0" w:rsidRPr="00CD00FB" w:rsidRDefault="008215A0" w:rsidP="00B27A98">
            <w:pPr>
              <w:widowControl/>
              <w:jc w:val="center"/>
              <w:rPr>
                <w:rFonts w:ascii="宋体" w:hAnsi="宋体" w:cs="宋体"/>
                <w:b/>
                <w:bCs/>
                <w:color w:val="000000"/>
                <w:kern w:val="0"/>
                <w:sz w:val="18"/>
                <w:szCs w:val="18"/>
              </w:rPr>
            </w:pPr>
            <w:r w:rsidRPr="00CD00FB">
              <w:rPr>
                <w:rFonts w:ascii="宋体" w:hAnsi="宋体" w:cs="宋体" w:hint="eastAsia"/>
                <w:b/>
                <w:bCs/>
                <w:color w:val="000000"/>
                <w:kern w:val="0"/>
                <w:sz w:val="18"/>
                <w:szCs w:val="18"/>
              </w:rPr>
              <w:t xml:space="preserve">　</w:t>
            </w:r>
          </w:p>
        </w:tc>
        <w:tc>
          <w:tcPr>
            <w:tcW w:w="457" w:type="dxa"/>
            <w:shd w:val="clear" w:color="000000" w:fill="F1F1F1"/>
            <w:noWrap/>
            <w:vAlign w:val="center"/>
            <w:hideMark/>
          </w:tcPr>
          <w:p w14:paraId="347A6E65"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24</w:t>
            </w:r>
          </w:p>
        </w:tc>
        <w:tc>
          <w:tcPr>
            <w:tcW w:w="935" w:type="dxa"/>
            <w:shd w:val="clear" w:color="auto" w:fill="auto"/>
            <w:noWrap/>
            <w:vAlign w:val="center"/>
            <w:hideMark/>
          </w:tcPr>
          <w:p w14:paraId="57E9E318"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42B9F7B8"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二十四、债务还本支出</w:t>
            </w:r>
          </w:p>
        </w:tc>
        <w:tc>
          <w:tcPr>
            <w:tcW w:w="558" w:type="dxa"/>
            <w:shd w:val="clear" w:color="000000" w:fill="F1F1F1"/>
            <w:noWrap/>
            <w:vAlign w:val="center"/>
            <w:hideMark/>
          </w:tcPr>
          <w:p w14:paraId="73612C2D"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56</w:t>
            </w:r>
          </w:p>
        </w:tc>
        <w:tc>
          <w:tcPr>
            <w:tcW w:w="1075" w:type="dxa"/>
            <w:shd w:val="clear" w:color="auto" w:fill="auto"/>
            <w:noWrap/>
            <w:vAlign w:val="center"/>
            <w:hideMark/>
          </w:tcPr>
          <w:p w14:paraId="71E8AE7C"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270" w:type="dxa"/>
            <w:shd w:val="clear" w:color="auto" w:fill="auto"/>
            <w:noWrap/>
            <w:vAlign w:val="center"/>
            <w:hideMark/>
          </w:tcPr>
          <w:p w14:paraId="067AB9DF"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072" w:type="dxa"/>
            <w:shd w:val="clear" w:color="auto" w:fill="auto"/>
            <w:noWrap/>
            <w:vAlign w:val="center"/>
            <w:hideMark/>
          </w:tcPr>
          <w:p w14:paraId="2D394600"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093F4B5D"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3DA36856" w14:textId="77777777" w:rsidTr="00B27A98">
        <w:trPr>
          <w:trHeight w:val="300"/>
        </w:trPr>
        <w:tc>
          <w:tcPr>
            <w:tcW w:w="1835" w:type="dxa"/>
            <w:shd w:val="clear" w:color="000000" w:fill="F1F1F1"/>
            <w:noWrap/>
            <w:vAlign w:val="center"/>
            <w:hideMark/>
          </w:tcPr>
          <w:p w14:paraId="5BE4208B"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457" w:type="dxa"/>
            <w:shd w:val="clear" w:color="000000" w:fill="F1F1F1"/>
            <w:noWrap/>
            <w:vAlign w:val="center"/>
            <w:hideMark/>
          </w:tcPr>
          <w:p w14:paraId="59C15454"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25</w:t>
            </w:r>
          </w:p>
        </w:tc>
        <w:tc>
          <w:tcPr>
            <w:tcW w:w="935" w:type="dxa"/>
            <w:shd w:val="clear" w:color="auto" w:fill="auto"/>
            <w:noWrap/>
            <w:vAlign w:val="center"/>
            <w:hideMark/>
          </w:tcPr>
          <w:p w14:paraId="68CD0091"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1B9BA3A7"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二十五、债务付息支出</w:t>
            </w:r>
          </w:p>
        </w:tc>
        <w:tc>
          <w:tcPr>
            <w:tcW w:w="558" w:type="dxa"/>
            <w:shd w:val="clear" w:color="000000" w:fill="F1F1F1"/>
            <w:noWrap/>
            <w:vAlign w:val="center"/>
            <w:hideMark/>
          </w:tcPr>
          <w:p w14:paraId="3CE20380"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57</w:t>
            </w:r>
          </w:p>
        </w:tc>
        <w:tc>
          <w:tcPr>
            <w:tcW w:w="1075" w:type="dxa"/>
            <w:shd w:val="clear" w:color="auto" w:fill="auto"/>
            <w:noWrap/>
            <w:vAlign w:val="center"/>
            <w:hideMark/>
          </w:tcPr>
          <w:p w14:paraId="45AD2A6E"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270" w:type="dxa"/>
            <w:shd w:val="clear" w:color="auto" w:fill="auto"/>
            <w:noWrap/>
            <w:vAlign w:val="center"/>
            <w:hideMark/>
          </w:tcPr>
          <w:p w14:paraId="1F418B24"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072" w:type="dxa"/>
            <w:shd w:val="clear" w:color="auto" w:fill="auto"/>
            <w:noWrap/>
            <w:vAlign w:val="center"/>
            <w:hideMark/>
          </w:tcPr>
          <w:p w14:paraId="30839B00"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43DE2E4F"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42BC92E6" w14:textId="77777777" w:rsidTr="00B27A98">
        <w:trPr>
          <w:trHeight w:val="300"/>
        </w:trPr>
        <w:tc>
          <w:tcPr>
            <w:tcW w:w="1835" w:type="dxa"/>
            <w:shd w:val="clear" w:color="000000" w:fill="F1F1F1"/>
            <w:noWrap/>
            <w:vAlign w:val="center"/>
            <w:hideMark/>
          </w:tcPr>
          <w:p w14:paraId="40E68AB3"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457" w:type="dxa"/>
            <w:shd w:val="clear" w:color="000000" w:fill="F1F1F1"/>
            <w:noWrap/>
            <w:vAlign w:val="center"/>
            <w:hideMark/>
          </w:tcPr>
          <w:p w14:paraId="6763DE99"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26</w:t>
            </w:r>
          </w:p>
        </w:tc>
        <w:tc>
          <w:tcPr>
            <w:tcW w:w="935" w:type="dxa"/>
            <w:shd w:val="clear" w:color="auto" w:fill="auto"/>
            <w:noWrap/>
            <w:vAlign w:val="center"/>
            <w:hideMark/>
          </w:tcPr>
          <w:p w14:paraId="7D5F9129"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5650BC37"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二十六、抗疫特别国债安排的支出</w:t>
            </w:r>
          </w:p>
        </w:tc>
        <w:tc>
          <w:tcPr>
            <w:tcW w:w="558" w:type="dxa"/>
            <w:shd w:val="clear" w:color="000000" w:fill="F1F1F1"/>
            <w:noWrap/>
            <w:vAlign w:val="center"/>
            <w:hideMark/>
          </w:tcPr>
          <w:p w14:paraId="72518097"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58</w:t>
            </w:r>
          </w:p>
        </w:tc>
        <w:tc>
          <w:tcPr>
            <w:tcW w:w="1075" w:type="dxa"/>
            <w:shd w:val="clear" w:color="auto" w:fill="auto"/>
            <w:noWrap/>
            <w:vAlign w:val="center"/>
            <w:hideMark/>
          </w:tcPr>
          <w:p w14:paraId="3BBF0F4D"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270" w:type="dxa"/>
            <w:shd w:val="clear" w:color="auto" w:fill="auto"/>
            <w:noWrap/>
            <w:vAlign w:val="center"/>
            <w:hideMark/>
          </w:tcPr>
          <w:p w14:paraId="2BBACCEC"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072" w:type="dxa"/>
            <w:shd w:val="clear" w:color="auto" w:fill="auto"/>
            <w:noWrap/>
            <w:vAlign w:val="center"/>
            <w:hideMark/>
          </w:tcPr>
          <w:p w14:paraId="38544C4E"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15002C9F"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34ABB024" w14:textId="77777777" w:rsidTr="00B27A98">
        <w:trPr>
          <w:trHeight w:val="300"/>
        </w:trPr>
        <w:tc>
          <w:tcPr>
            <w:tcW w:w="1835" w:type="dxa"/>
            <w:shd w:val="clear" w:color="000000" w:fill="F1F1F1"/>
            <w:noWrap/>
            <w:vAlign w:val="center"/>
            <w:hideMark/>
          </w:tcPr>
          <w:p w14:paraId="575C51CD" w14:textId="77777777" w:rsidR="008215A0" w:rsidRPr="00CD00FB" w:rsidRDefault="008215A0" w:rsidP="00B27A98">
            <w:pPr>
              <w:widowControl/>
              <w:jc w:val="center"/>
              <w:rPr>
                <w:rFonts w:ascii="宋体" w:hAnsi="宋体" w:cs="宋体"/>
                <w:b/>
                <w:bCs/>
                <w:color w:val="000000"/>
                <w:kern w:val="0"/>
                <w:sz w:val="18"/>
                <w:szCs w:val="18"/>
              </w:rPr>
            </w:pPr>
            <w:r w:rsidRPr="00CD00FB">
              <w:rPr>
                <w:rFonts w:ascii="宋体" w:hAnsi="宋体" w:cs="宋体" w:hint="eastAsia"/>
                <w:b/>
                <w:bCs/>
                <w:color w:val="000000"/>
                <w:kern w:val="0"/>
                <w:sz w:val="18"/>
                <w:szCs w:val="18"/>
              </w:rPr>
              <w:t>本年收入合计</w:t>
            </w:r>
          </w:p>
        </w:tc>
        <w:tc>
          <w:tcPr>
            <w:tcW w:w="457" w:type="dxa"/>
            <w:shd w:val="clear" w:color="000000" w:fill="F1F1F1"/>
            <w:noWrap/>
            <w:vAlign w:val="center"/>
            <w:hideMark/>
          </w:tcPr>
          <w:p w14:paraId="0BBB13EC"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27</w:t>
            </w:r>
          </w:p>
        </w:tc>
        <w:tc>
          <w:tcPr>
            <w:tcW w:w="935" w:type="dxa"/>
            <w:shd w:val="clear" w:color="auto" w:fill="auto"/>
            <w:noWrap/>
            <w:vAlign w:val="center"/>
            <w:hideMark/>
          </w:tcPr>
          <w:p w14:paraId="22F7EE2C"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3,255.42</w:t>
            </w:r>
          </w:p>
        </w:tc>
        <w:tc>
          <w:tcPr>
            <w:tcW w:w="1157" w:type="dxa"/>
            <w:shd w:val="clear" w:color="000000" w:fill="F1F1F1"/>
            <w:noWrap/>
            <w:vAlign w:val="center"/>
            <w:hideMark/>
          </w:tcPr>
          <w:p w14:paraId="1C78D29F" w14:textId="77777777" w:rsidR="008215A0" w:rsidRPr="00CD00FB" w:rsidRDefault="008215A0" w:rsidP="00B27A98">
            <w:pPr>
              <w:widowControl/>
              <w:jc w:val="center"/>
              <w:rPr>
                <w:rFonts w:ascii="宋体" w:hAnsi="宋体" w:cs="宋体"/>
                <w:b/>
                <w:bCs/>
                <w:color w:val="000000"/>
                <w:kern w:val="0"/>
                <w:sz w:val="18"/>
                <w:szCs w:val="18"/>
              </w:rPr>
            </w:pPr>
            <w:r w:rsidRPr="00CD00FB">
              <w:rPr>
                <w:rFonts w:ascii="宋体" w:hAnsi="宋体" w:cs="宋体" w:hint="eastAsia"/>
                <w:b/>
                <w:bCs/>
                <w:color w:val="000000"/>
                <w:kern w:val="0"/>
                <w:sz w:val="18"/>
                <w:szCs w:val="18"/>
              </w:rPr>
              <w:t>本年支出合计</w:t>
            </w:r>
          </w:p>
        </w:tc>
        <w:tc>
          <w:tcPr>
            <w:tcW w:w="558" w:type="dxa"/>
            <w:shd w:val="clear" w:color="000000" w:fill="F1F1F1"/>
            <w:noWrap/>
            <w:vAlign w:val="center"/>
            <w:hideMark/>
          </w:tcPr>
          <w:p w14:paraId="6234DFEC"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59</w:t>
            </w:r>
          </w:p>
        </w:tc>
        <w:tc>
          <w:tcPr>
            <w:tcW w:w="1075" w:type="dxa"/>
            <w:shd w:val="clear" w:color="auto" w:fill="auto"/>
            <w:noWrap/>
            <w:vAlign w:val="center"/>
            <w:hideMark/>
          </w:tcPr>
          <w:p w14:paraId="217F497C"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3,255.39</w:t>
            </w:r>
          </w:p>
        </w:tc>
        <w:tc>
          <w:tcPr>
            <w:tcW w:w="1270" w:type="dxa"/>
            <w:shd w:val="clear" w:color="auto" w:fill="auto"/>
            <w:noWrap/>
            <w:vAlign w:val="center"/>
            <w:hideMark/>
          </w:tcPr>
          <w:p w14:paraId="2B32F157"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3,243.27</w:t>
            </w:r>
          </w:p>
        </w:tc>
        <w:tc>
          <w:tcPr>
            <w:tcW w:w="1072" w:type="dxa"/>
            <w:shd w:val="clear" w:color="auto" w:fill="auto"/>
            <w:noWrap/>
            <w:vAlign w:val="center"/>
            <w:hideMark/>
          </w:tcPr>
          <w:p w14:paraId="5C616188"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1EE790D3"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12.12</w:t>
            </w:r>
          </w:p>
        </w:tc>
      </w:tr>
      <w:tr w:rsidR="008215A0" w:rsidRPr="00CD00FB" w14:paraId="65A8F909" w14:textId="77777777" w:rsidTr="00B27A98">
        <w:trPr>
          <w:trHeight w:val="300"/>
        </w:trPr>
        <w:tc>
          <w:tcPr>
            <w:tcW w:w="1835" w:type="dxa"/>
            <w:shd w:val="clear" w:color="000000" w:fill="F1F1F1"/>
            <w:noWrap/>
            <w:vAlign w:val="center"/>
            <w:hideMark/>
          </w:tcPr>
          <w:p w14:paraId="3991257A"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年初财政拨款结转和结余</w:t>
            </w:r>
          </w:p>
        </w:tc>
        <w:tc>
          <w:tcPr>
            <w:tcW w:w="457" w:type="dxa"/>
            <w:shd w:val="clear" w:color="000000" w:fill="F1F1F1"/>
            <w:noWrap/>
            <w:vAlign w:val="center"/>
            <w:hideMark/>
          </w:tcPr>
          <w:p w14:paraId="10578F57"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28</w:t>
            </w:r>
          </w:p>
        </w:tc>
        <w:tc>
          <w:tcPr>
            <w:tcW w:w="935" w:type="dxa"/>
            <w:shd w:val="clear" w:color="auto" w:fill="auto"/>
            <w:noWrap/>
            <w:vAlign w:val="center"/>
            <w:hideMark/>
          </w:tcPr>
          <w:p w14:paraId="0A22C42A"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7.79</w:t>
            </w:r>
          </w:p>
        </w:tc>
        <w:tc>
          <w:tcPr>
            <w:tcW w:w="1157" w:type="dxa"/>
            <w:shd w:val="clear" w:color="000000" w:fill="F1F1F1"/>
            <w:noWrap/>
            <w:vAlign w:val="center"/>
            <w:hideMark/>
          </w:tcPr>
          <w:p w14:paraId="72CC44A3"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年末财政拨款结转和结余</w:t>
            </w:r>
          </w:p>
        </w:tc>
        <w:tc>
          <w:tcPr>
            <w:tcW w:w="558" w:type="dxa"/>
            <w:shd w:val="clear" w:color="000000" w:fill="F1F1F1"/>
            <w:noWrap/>
            <w:vAlign w:val="center"/>
            <w:hideMark/>
          </w:tcPr>
          <w:p w14:paraId="21722910"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60</w:t>
            </w:r>
          </w:p>
        </w:tc>
        <w:tc>
          <w:tcPr>
            <w:tcW w:w="1075" w:type="dxa"/>
            <w:shd w:val="clear" w:color="auto" w:fill="auto"/>
            <w:noWrap/>
            <w:vAlign w:val="center"/>
            <w:hideMark/>
          </w:tcPr>
          <w:p w14:paraId="339E0A6D"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7.81</w:t>
            </w:r>
          </w:p>
        </w:tc>
        <w:tc>
          <w:tcPr>
            <w:tcW w:w="1270" w:type="dxa"/>
            <w:shd w:val="clear" w:color="auto" w:fill="auto"/>
            <w:noWrap/>
            <w:vAlign w:val="center"/>
            <w:hideMark/>
          </w:tcPr>
          <w:p w14:paraId="5102D99A"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7.81</w:t>
            </w:r>
          </w:p>
        </w:tc>
        <w:tc>
          <w:tcPr>
            <w:tcW w:w="1072" w:type="dxa"/>
            <w:shd w:val="clear" w:color="auto" w:fill="auto"/>
            <w:noWrap/>
            <w:vAlign w:val="center"/>
            <w:hideMark/>
          </w:tcPr>
          <w:p w14:paraId="7562D943"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6C35C3E4"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1AB6159F" w14:textId="77777777" w:rsidTr="00B27A98">
        <w:trPr>
          <w:trHeight w:val="300"/>
        </w:trPr>
        <w:tc>
          <w:tcPr>
            <w:tcW w:w="1835" w:type="dxa"/>
            <w:shd w:val="clear" w:color="000000" w:fill="F1F1F1"/>
            <w:noWrap/>
            <w:vAlign w:val="center"/>
            <w:hideMark/>
          </w:tcPr>
          <w:p w14:paraId="1E66CE2D"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一般公共预算财政拨款</w:t>
            </w:r>
          </w:p>
        </w:tc>
        <w:tc>
          <w:tcPr>
            <w:tcW w:w="457" w:type="dxa"/>
            <w:shd w:val="clear" w:color="000000" w:fill="F1F1F1"/>
            <w:noWrap/>
            <w:vAlign w:val="center"/>
            <w:hideMark/>
          </w:tcPr>
          <w:p w14:paraId="69004A25"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29</w:t>
            </w:r>
          </w:p>
        </w:tc>
        <w:tc>
          <w:tcPr>
            <w:tcW w:w="935" w:type="dxa"/>
            <w:shd w:val="clear" w:color="auto" w:fill="auto"/>
            <w:noWrap/>
            <w:vAlign w:val="center"/>
            <w:hideMark/>
          </w:tcPr>
          <w:p w14:paraId="4B295751"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7.79</w:t>
            </w:r>
          </w:p>
        </w:tc>
        <w:tc>
          <w:tcPr>
            <w:tcW w:w="1157" w:type="dxa"/>
            <w:shd w:val="clear" w:color="000000" w:fill="F1F1F1"/>
            <w:noWrap/>
            <w:vAlign w:val="center"/>
            <w:hideMark/>
          </w:tcPr>
          <w:p w14:paraId="0C078B28"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558" w:type="dxa"/>
            <w:shd w:val="clear" w:color="000000" w:fill="F1F1F1"/>
            <w:noWrap/>
            <w:vAlign w:val="center"/>
            <w:hideMark/>
          </w:tcPr>
          <w:p w14:paraId="18723102"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61</w:t>
            </w:r>
          </w:p>
        </w:tc>
        <w:tc>
          <w:tcPr>
            <w:tcW w:w="1075" w:type="dxa"/>
            <w:shd w:val="clear" w:color="auto" w:fill="auto"/>
            <w:noWrap/>
            <w:vAlign w:val="center"/>
            <w:hideMark/>
          </w:tcPr>
          <w:p w14:paraId="6FCEEB65"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270" w:type="dxa"/>
            <w:shd w:val="clear" w:color="auto" w:fill="auto"/>
            <w:noWrap/>
            <w:vAlign w:val="center"/>
            <w:hideMark/>
          </w:tcPr>
          <w:p w14:paraId="70298171"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072" w:type="dxa"/>
            <w:shd w:val="clear" w:color="auto" w:fill="auto"/>
            <w:noWrap/>
            <w:vAlign w:val="center"/>
            <w:hideMark/>
          </w:tcPr>
          <w:p w14:paraId="0357C0B8"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5888FF46"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591BF767" w14:textId="77777777" w:rsidTr="00B27A98">
        <w:trPr>
          <w:trHeight w:val="300"/>
        </w:trPr>
        <w:tc>
          <w:tcPr>
            <w:tcW w:w="1835" w:type="dxa"/>
            <w:shd w:val="clear" w:color="000000" w:fill="F1F1F1"/>
            <w:noWrap/>
            <w:vAlign w:val="center"/>
            <w:hideMark/>
          </w:tcPr>
          <w:p w14:paraId="56682B89"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政府性基金预算财政拨款</w:t>
            </w:r>
          </w:p>
        </w:tc>
        <w:tc>
          <w:tcPr>
            <w:tcW w:w="457" w:type="dxa"/>
            <w:shd w:val="clear" w:color="000000" w:fill="F1F1F1"/>
            <w:noWrap/>
            <w:vAlign w:val="center"/>
            <w:hideMark/>
          </w:tcPr>
          <w:p w14:paraId="755AF824"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30</w:t>
            </w:r>
          </w:p>
        </w:tc>
        <w:tc>
          <w:tcPr>
            <w:tcW w:w="935" w:type="dxa"/>
            <w:shd w:val="clear" w:color="auto" w:fill="auto"/>
            <w:noWrap/>
            <w:vAlign w:val="center"/>
            <w:hideMark/>
          </w:tcPr>
          <w:p w14:paraId="3DEE60F5"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7D0A75C9"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558" w:type="dxa"/>
            <w:shd w:val="clear" w:color="000000" w:fill="F1F1F1"/>
            <w:noWrap/>
            <w:vAlign w:val="center"/>
            <w:hideMark/>
          </w:tcPr>
          <w:p w14:paraId="1555979C"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62</w:t>
            </w:r>
          </w:p>
        </w:tc>
        <w:tc>
          <w:tcPr>
            <w:tcW w:w="1075" w:type="dxa"/>
            <w:shd w:val="clear" w:color="auto" w:fill="auto"/>
            <w:noWrap/>
            <w:vAlign w:val="center"/>
            <w:hideMark/>
          </w:tcPr>
          <w:p w14:paraId="0FA5EB41"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270" w:type="dxa"/>
            <w:shd w:val="clear" w:color="auto" w:fill="auto"/>
            <w:noWrap/>
            <w:vAlign w:val="center"/>
            <w:hideMark/>
          </w:tcPr>
          <w:p w14:paraId="6B3EDD33"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072" w:type="dxa"/>
            <w:shd w:val="clear" w:color="auto" w:fill="auto"/>
            <w:noWrap/>
            <w:vAlign w:val="center"/>
            <w:hideMark/>
          </w:tcPr>
          <w:p w14:paraId="65B8DD65"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00124CE1"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0EA2E233" w14:textId="77777777" w:rsidTr="00B27A98">
        <w:trPr>
          <w:trHeight w:val="300"/>
        </w:trPr>
        <w:tc>
          <w:tcPr>
            <w:tcW w:w="1835" w:type="dxa"/>
            <w:shd w:val="clear" w:color="000000" w:fill="F1F1F1"/>
            <w:noWrap/>
            <w:vAlign w:val="center"/>
            <w:hideMark/>
          </w:tcPr>
          <w:p w14:paraId="20EF15F2"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国有资本经营预算财政拨款</w:t>
            </w:r>
          </w:p>
        </w:tc>
        <w:tc>
          <w:tcPr>
            <w:tcW w:w="457" w:type="dxa"/>
            <w:shd w:val="clear" w:color="000000" w:fill="F1F1F1"/>
            <w:noWrap/>
            <w:vAlign w:val="center"/>
            <w:hideMark/>
          </w:tcPr>
          <w:p w14:paraId="0F2998C5"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31</w:t>
            </w:r>
          </w:p>
        </w:tc>
        <w:tc>
          <w:tcPr>
            <w:tcW w:w="935" w:type="dxa"/>
            <w:shd w:val="clear" w:color="auto" w:fill="auto"/>
            <w:noWrap/>
            <w:vAlign w:val="center"/>
            <w:hideMark/>
          </w:tcPr>
          <w:p w14:paraId="49D6655A"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57" w:type="dxa"/>
            <w:shd w:val="clear" w:color="000000" w:fill="F1F1F1"/>
            <w:noWrap/>
            <w:vAlign w:val="center"/>
            <w:hideMark/>
          </w:tcPr>
          <w:p w14:paraId="40FB18D8"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 xml:space="preserve">　</w:t>
            </w:r>
          </w:p>
        </w:tc>
        <w:tc>
          <w:tcPr>
            <w:tcW w:w="558" w:type="dxa"/>
            <w:shd w:val="clear" w:color="000000" w:fill="F1F1F1"/>
            <w:noWrap/>
            <w:vAlign w:val="center"/>
            <w:hideMark/>
          </w:tcPr>
          <w:p w14:paraId="7BF4E690"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63</w:t>
            </w:r>
          </w:p>
        </w:tc>
        <w:tc>
          <w:tcPr>
            <w:tcW w:w="1075" w:type="dxa"/>
            <w:shd w:val="clear" w:color="auto" w:fill="auto"/>
            <w:noWrap/>
            <w:vAlign w:val="center"/>
            <w:hideMark/>
          </w:tcPr>
          <w:p w14:paraId="7D3E292E"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270" w:type="dxa"/>
            <w:shd w:val="clear" w:color="auto" w:fill="auto"/>
            <w:noWrap/>
            <w:vAlign w:val="center"/>
            <w:hideMark/>
          </w:tcPr>
          <w:p w14:paraId="54BEC81D"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072" w:type="dxa"/>
            <w:shd w:val="clear" w:color="auto" w:fill="auto"/>
            <w:noWrap/>
            <w:vAlign w:val="center"/>
            <w:hideMark/>
          </w:tcPr>
          <w:p w14:paraId="360FEADC"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1BB1CA19"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r>
      <w:tr w:rsidR="008215A0" w:rsidRPr="00CD00FB" w14:paraId="39997D9B" w14:textId="77777777" w:rsidTr="00B27A98">
        <w:trPr>
          <w:trHeight w:val="300"/>
        </w:trPr>
        <w:tc>
          <w:tcPr>
            <w:tcW w:w="1835" w:type="dxa"/>
            <w:shd w:val="clear" w:color="000000" w:fill="F1F1F1"/>
            <w:noWrap/>
            <w:vAlign w:val="center"/>
            <w:hideMark/>
          </w:tcPr>
          <w:p w14:paraId="19CC6C16" w14:textId="77777777" w:rsidR="008215A0" w:rsidRPr="00CD00FB" w:rsidRDefault="008215A0" w:rsidP="00B27A98">
            <w:pPr>
              <w:widowControl/>
              <w:jc w:val="center"/>
              <w:rPr>
                <w:rFonts w:ascii="宋体" w:hAnsi="宋体" w:cs="宋体"/>
                <w:b/>
                <w:bCs/>
                <w:color w:val="000000"/>
                <w:kern w:val="0"/>
                <w:sz w:val="18"/>
                <w:szCs w:val="18"/>
              </w:rPr>
            </w:pPr>
            <w:r w:rsidRPr="00CD00FB">
              <w:rPr>
                <w:rFonts w:ascii="宋体" w:hAnsi="宋体" w:cs="宋体" w:hint="eastAsia"/>
                <w:b/>
                <w:bCs/>
                <w:color w:val="000000"/>
                <w:kern w:val="0"/>
                <w:sz w:val="18"/>
                <w:szCs w:val="18"/>
              </w:rPr>
              <w:t>总计</w:t>
            </w:r>
          </w:p>
        </w:tc>
        <w:tc>
          <w:tcPr>
            <w:tcW w:w="457" w:type="dxa"/>
            <w:shd w:val="clear" w:color="000000" w:fill="F1F1F1"/>
            <w:noWrap/>
            <w:vAlign w:val="center"/>
            <w:hideMark/>
          </w:tcPr>
          <w:p w14:paraId="525B4C40"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32</w:t>
            </w:r>
          </w:p>
        </w:tc>
        <w:tc>
          <w:tcPr>
            <w:tcW w:w="935" w:type="dxa"/>
            <w:shd w:val="clear" w:color="auto" w:fill="auto"/>
            <w:noWrap/>
            <w:vAlign w:val="center"/>
            <w:hideMark/>
          </w:tcPr>
          <w:p w14:paraId="13891F4D"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3,263.20</w:t>
            </w:r>
          </w:p>
        </w:tc>
        <w:tc>
          <w:tcPr>
            <w:tcW w:w="1157" w:type="dxa"/>
            <w:shd w:val="clear" w:color="000000" w:fill="F1F1F1"/>
            <w:noWrap/>
            <w:vAlign w:val="center"/>
            <w:hideMark/>
          </w:tcPr>
          <w:p w14:paraId="0E827D9B" w14:textId="77777777" w:rsidR="008215A0" w:rsidRPr="00CD00FB" w:rsidRDefault="008215A0" w:rsidP="00B27A98">
            <w:pPr>
              <w:widowControl/>
              <w:jc w:val="center"/>
              <w:rPr>
                <w:rFonts w:ascii="宋体" w:hAnsi="宋体" w:cs="宋体"/>
                <w:b/>
                <w:bCs/>
                <w:color w:val="000000"/>
                <w:kern w:val="0"/>
                <w:sz w:val="18"/>
                <w:szCs w:val="18"/>
              </w:rPr>
            </w:pPr>
            <w:r w:rsidRPr="00CD00FB">
              <w:rPr>
                <w:rFonts w:ascii="宋体" w:hAnsi="宋体" w:cs="宋体" w:hint="eastAsia"/>
                <w:b/>
                <w:bCs/>
                <w:color w:val="000000"/>
                <w:kern w:val="0"/>
                <w:sz w:val="18"/>
                <w:szCs w:val="18"/>
              </w:rPr>
              <w:t>总计</w:t>
            </w:r>
          </w:p>
        </w:tc>
        <w:tc>
          <w:tcPr>
            <w:tcW w:w="558" w:type="dxa"/>
            <w:shd w:val="clear" w:color="000000" w:fill="F1F1F1"/>
            <w:noWrap/>
            <w:vAlign w:val="center"/>
            <w:hideMark/>
          </w:tcPr>
          <w:p w14:paraId="3F19525D" w14:textId="77777777" w:rsidR="008215A0" w:rsidRPr="00CD00FB" w:rsidRDefault="008215A0" w:rsidP="00B27A98">
            <w:pPr>
              <w:widowControl/>
              <w:jc w:val="center"/>
              <w:rPr>
                <w:rFonts w:ascii="宋体" w:hAnsi="宋体" w:cs="宋体"/>
                <w:color w:val="000000"/>
                <w:kern w:val="0"/>
                <w:sz w:val="18"/>
                <w:szCs w:val="18"/>
              </w:rPr>
            </w:pPr>
            <w:r w:rsidRPr="00CD00FB">
              <w:rPr>
                <w:rFonts w:ascii="宋体" w:hAnsi="宋体" w:cs="宋体" w:hint="eastAsia"/>
                <w:color w:val="000000"/>
                <w:kern w:val="0"/>
                <w:sz w:val="18"/>
                <w:szCs w:val="18"/>
              </w:rPr>
              <w:t>64</w:t>
            </w:r>
          </w:p>
        </w:tc>
        <w:tc>
          <w:tcPr>
            <w:tcW w:w="1075" w:type="dxa"/>
            <w:shd w:val="clear" w:color="auto" w:fill="auto"/>
            <w:noWrap/>
            <w:vAlign w:val="center"/>
            <w:hideMark/>
          </w:tcPr>
          <w:p w14:paraId="49799652"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3,263.20</w:t>
            </w:r>
          </w:p>
        </w:tc>
        <w:tc>
          <w:tcPr>
            <w:tcW w:w="1270" w:type="dxa"/>
            <w:shd w:val="clear" w:color="auto" w:fill="auto"/>
            <w:noWrap/>
            <w:vAlign w:val="center"/>
            <w:hideMark/>
          </w:tcPr>
          <w:p w14:paraId="5888AE24"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3,251.08</w:t>
            </w:r>
          </w:p>
        </w:tc>
        <w:tc>
          <w:tcPr>
            <w:tcW w:w="1072" w:type="dxa"/>
            <w:shd w:val="clear" w:color="auto" w:fill="auto"/>
            <w:noWrap/>
            <w:vAlign w:val="center"/>
            <w:hideMark/>
          </w:tcPr>
          <w:p w14:paraId="0E8D7991"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0.00</w:t>
            </w:r>
          </w:p>
        </w:tc>
        <w:tc>
          <w:tcPr>
            <w:tcW w:w="1134" w:type="dxa"/>
            <w:shd w:val="clear" w:color="auto" w:fill="auto"/>
            <w:noWrap/>
            <w:vAlign w:val="center"/>
            <w:hideMark/>
          </w:tcPr>
          <w:p w14:paraId="647D6506" w14:textId="77777777" w:rsidR="008215A0" w:rsidRPr="00CD00FB" w:rsidRDefault="008215A0" w:rsidP="00B27A98">
            <w:pPr>
              <w:widowControl/>
              <w:jc w:val="right"/>
              <w:rPr>
                <w:rFonts w:ascii="宋体" w:hAnsi="宋体" w:cs="宋体"/>
                <w:color w:val="000000"/>
                <w:kern w:val="0"/>
                <w:sz w:val="18"/>
                <w:szCs w:val="18"/>
              </w:rPr>
            </w:pPr>
            <w:r w:rsidRPr="00CD00FB">
              <w:rPr>
                <w:rFonts w:ascii="宋体" w:hAnsi="宋体" w:cs="宋体" w:hint="eastAsia"/>
                <w:color w:val="000000"/>
                <w:kern w:val="0"/>
                <w:sz w:val="18"/>
                <w:szCs w:val="18"/>
              </w:rPr>
              <w:t>12.12</w:t>
            </w:r>
          </w:p>
        </w:tc>
      </w:tr>
      <w:tr w:rsidR="008215A0" w:rsidRPr="00CD00FB" w14:paraId="21AF786F" w14:textId="77777777" w:rsidTr="00B27A98">
        <w:trPr>
          <w:trHeight w:val="300"/>
        </w:trPr>
        <w:tc>
          <w:tcPr>
            <w:tcW w:w="9493" w:type="dxa"/>
            <w:gridSpan w:val="9"/>
            <w:shd w:val="clear" w:color="000000" w:fill="FFFFFF"/>
            <w:noWrap/>
            <w:vAlign w:val="center"/>
            <w:hideMark/>
          </w:tcPr>
          <w:p w14:paraId="507488C3" w14:textId="77777777" w:rsidR="008215A0" w:rsidRPr="00CD00FB" w:rsidRDefault="008215A0" w:rsidP="00B27A98">
            <w:pPr>
              <w:widowControl/>
              <w:jc w:val="left"/>
              <w:rPr>
                <w:rFonts w:ascii="宋体" w:hAnsi="宋体" w:cs="宋体"/>
                <w:color w:val="000000"/>
                <w:kern w:val="0"/>
                <w:sz w:val="18"/>
                <w:szCs w:val="18"/>
              </w:rPr>
            </w:pPr>
            <w:r w:rsidRPr="00CD00FB">
              <w:rPr>
                <w:rFonts w:ascii="宋体" w:hAnsi="宋体" w:cs="宋体" w:hint="eastAsia"/>
                <w:color w:val="000000"/>
                <w:kern w:val="0"/>
                <w:sz w:val="18"/>
                <w:szCs w:val="18"/>
              </w:rPr>
              <w:t>注：本表反映部门本年度一般公共预算财政拨款、政府性基金预算财政拨款和国有资本经营预算财政拨款的总收支和年末结转结余情况。</w:t>
            </w:r>
          </w:p>
        </w:tc>
      </w:tr>
    </w:tbl>
    <w:p w14:paraId="63ABFAC3" w14:textId="77777777" w:rsidR="008215A0" w:rsidRDefault="008215A0" w:rsidP="008215A0">
      <w:pPr>
        <w:widowControl/>
        <w:jc w:val="left"/>
        <w:rPr>
          <w:rFonts w:ascii="黑体" w:eastAsia="黑体" w:hAnsi="黑体"/>
          <w:sz w:val="32"/>
          <w:szCs w:val="32"/>
        </w:rPr>
      </w:pPr>
      <w:r>
        <w:rPr>
          <w:rFonts w:ascii="黑体" w:eastAsia="黑体" w:hAnsi="黑体"/>
          <w:sz w:val="32"/>
          <w:szCs w:val="32"/>
        </w:rPr>
        <w:br w:type="page"/>
      </w:r>
    </w:p>
    <w:p w14:paraId="57BFECC5" w14:textId="77777777" w:rsidR="008215A0" w:rsidRDefault="008215A0" w:rsidP="008215A0">
      <w:pPr>
        <w:jc w:val="center"/>
        <w:rPr>
          <w:rFonts w:ascii="黑体" w:eastAsia="黑体" w:hAnsi="黑体"/>
          <w:sz w:val="32"/>
          <w:szCs w:val="32"/>
        </w:rPr>
      </w:pPr>
      <w:r>
        <w:rPr>
          <w:rFonts w:ascii="黑体" w:eastAsia="黑体" w:hAnsi="黑体" w:hint="eastAsia"/>
          <w:sz w:val="32"/>
          <w:szCs w:val="32"/>
        </w:rPr>
        <w:lastRenderedPageBreak/>
        <w:t>一般公共预算财政拨款支出决算表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3576"/>
        <w:gridCol w:w="1056"/>
        <w:gridCol w:w="1056"/>
        <w:gridCol w:w="1056"/>
      </w:tblGrid>
      <w:tr w:rsidR="008215A0" w:rsidRPr="00CD00FB" w14:paraId="7F3078F8" w14:textId="77777777" w:rsidTr="00B27A98">
        <w:trPr>
          <w:trHeight w:val="300"/>
        </w:trPr>
        <w:tc>
          <w:tcPr>
            <w:tcW w:w="0" w:type="auto"/>
            <w:gridSpan w:val="2"/>
            <w:shd w:val="clear" w:color="000000" w:fill="F1F1F1"/>
            <w:noWrap/>
            <w:vAlign w:val="center"/>
            <w:hideMark/>
          </w:tcPr>
          <w:p w14:paraId="78EB2AEA"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项目</w:t>
            </w:r>
          </w:p>
        </w:tc>
        <w:tc>
          <w:tcPr>
            <w:tcW w:w="0" w:type="auto"/>
            <w:gridSpan w:val="3"/>
            <w:shd w:val="clear" w:color="000000" w:fill="F1F1F1"/>
            <w:vAlign w:val="center"/>
            <w:hideMark/>
          </w:tcPr>
          <w:p w14:paraId="70DA3BAE"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本年支出</w:t>
            </w:r>
          </w:p>
        </w:tc>
      </w:tr>
      <w:tr w:rsidR="008215A0" w:rsidRPr="00CD00FB" w14:paraId="14A53970" w14:textId="77777777" w:rsidTr="00B27A98">
        <w:trPr>
          <w:trHeight w:val="315"/>
        </w:trPr>
        <w:tc>
          <w:tcPr>
            <w:tcW w:w="0" w:type="auto"/>
            <w:vMerge w:val="restart"/>
            <w:shd w:val="clear" w:color="000000" w:fill="F1F1F1"/>
            <w:vAlign w:val="center"/>
            <w:hideMark/>
          </w:tcPr>
          <w:p w14:paraId="019DBE8E"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科目代码</w:t>
            </w:r>
          </w:p>
        </w:tc>
        <w:tc>
          <w:tcPr>
            <w:tcW w:w="0" w:type="auto"/>
            <w:vMerge w:val="restart"/>
            <w:shd w:val="clear" w:color="000000" w:fill="F1F1F1"/>
            <w:noWrap/>
            <w:vAlign w:val="center"/>
            <w:hideMark/>
          </w:tcPr>
          <w:p w14:paraId="1BA3F5D3"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科目名称</w:t>
            </w:r>
          </w:p>
        </w:tc>
        <w:tc>
          <w:tcPr>
            <w:tcW w:w="0" w:type="auto"/>
            <w:vMerge w:val="restart"/>
            <w:shd w:val="clear" w:color="000000" w:fill="F1F1F1"/>
            <w:vAlign w:val="center"/>
            <w:hideMark/>
          </w:tcPr>
          <w:p w14:paraId="7C1A67E2"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小计</w:t>
            </w:r>
          </w:p>
        </w:tc>
        <w:tc>
          <w:tcPr>
            <w:tcW w:w="0" w:type="auto"/>
            <w:vMerge w:val="restart"/>
            <w:shd w:val="clear" w:color="000000" w:fill="F1F1F1"/>
            <w:vAlign w:val="center"/>
            <w:hideMark/>
          </w:tcPr>
          <w:p w14:paraId="1C103257"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基本支出</w:t>
            </w:r>
          </w:p>
        </w:tc>
        <w:tc>
          <w:tcPr>
            <w:tcW w:w="0" w:type="auto"/>
            <w:vMerge w:val="restart"/>
            <w:shd w:val="clear" w:color="000000" w:fill="F1F1F1"/>
            <w:vAlign w:val="center"/>
            <w:hideMark/>
          </w:tcPr>
          <w:p w14:paraId="3467FEC2"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项目支出</w:t>
            </w:r>
          </w:p>
        </w:tc>
      </w:tr>
      <w:tr w:rsidR="008215A0" w:rsidRPr="00CD00FB" w14:paraId="459F10E7" w14:textId="77777777" w:rsidTr="00B27A98">
        <w:trPr>
          <w:trHeight w:val="315"/>
        </w:trPr>
        <w:tc>
          <w:tcPr>
            <w:tcW w:w="0" w:type="auto"/>
            <w:vMerge/>
            <w:vAlign w:val="center"/>
            <w:hideMark/>
          </w:tcPr>
          <w:p w14:paraId="219932D0" w14:textId="77777777" w:rsidR="008215A0" w:rsidRPr="00CD00FB" w:rsidRDefault="008215A0" w:rsidP="00B27A98">
            <w:pPr>
              <w:widowControl/>
              <w:jc w:val="left"/>
              <w:rPr>
                <w:rFonts w:ascii="宋体" w:hAnsi="宋体" w:cs="宋体"/>
                <w:color w:val="000000"/>
                <w:kern w:val="0"/>
                <w:szCs w:val="21"/>
              </w:rPr>
            </w:pPr>
          </w:p>
        </w:tc>
        <w:tc>
          <w:tcPr>
            <w:tcW w:w="0" w:type="auto"/>
            <w:vMerge/>
            <w:vAlign w:val="center"/>
            <w:hideMark/>
          </w:tcPr>
          <w:p w14:paraId="0D3F2717" w14:textId="77777777" w:rsidR="008215A0" w:rsidRPr="00CD00FB" w:rsidRDefault="008215A0" w:rsidP="00B27A98">
            <w:pPr>
              <w:widowControl/>
              <w:jc w:val="left"/>
              <w:rPr>
                <w:rFonts w:ascii="宋体" w:hAnsi="宋体" w:cs="宋体"/>
                <w:color w:val="000000"/>
                <w:kern w:val="0"/>
                <w:szCs w:val="21"/>
              </w:rPr>
            </w:pPr>
          </w:p>
        </w:tc>
        <w:tc>
          <w:tcPr>
            <w:tcW w:w="0" w:type="auto"/>
            <w:vMerge/>
            <w:vAlign w:val="center"/>
            <w:hideMark/>
          </w:tcPr>
          <w:p w14:paraId="4ACB4272" w14:textId="77777777" w:rsidR="008215A0" w:rsidRPr="00CD00FB" w:rsidRDefault="008215A0" w:rsidP="00B27A98">
            <w:pPr>
              <w:widowControl/>
              <w:jc w:val="left"/>
              <w:rPr>
                <w:rFonts w:ascii="宋体" w:hAnsi="宋体" w:cs="宋体"/>
                <w:color w:val="000000"/>
                <w:kern w:val="0"/>
                <w:szCs w:val="21"/>
              </w:rPr>
            </w:pPr>
          </w:p>
        </w:tc>
        <w:tc>
          <w:tcPr>
            <w:tcW w:w="0" w:type="auto"/>
            <w:vMerge/>
            <w:vAlign w:val="center"/>
            <w:hideMark/>
          </w:tcPr>
          <w:p w14:paraId="72C0E5E1" w14:textId="77777777" w:rsidR="008215A0" w:rsidRPr="00CD00FB" w:rsidRDefault="008215A0" w:rsidP="00B27A98">
            <w:pPr>
              <w:widowControl/>
              <w:jc w:val="left"/>
              <w:rPr>
                <w:rFonts w:ascii="宋体" w:hAnsi="宋体" w:cs="宋体"/>
                <w:color w:val="000000"/>
                <w:kern w:val="0"/>
                <w:szCs w:val="21"/>
              </w:rPr>
            </w:pPr>
          </w:p>
        </w:tc>
        <w:tc>
          <w:tcPr>
            <w:tcW w:w="0" w:type="auto"/>
            <w:vMerge/>
            <w:vAlign w:val="center"/>
            <w:hideMark/>
          </w:tcPr>
          <w:p w14:paraId="6D3FDA1A" w14:textId="77777777" w:rsidR="008215A0" w:rsidRPr="00CD00FB" w:rsidRDefault="008215A0" w:rsidP="00B27A98">
            <w:pPr>
              <w:widowControl/>
              <w:jc w:val="left"/>
              <w:rPr>
                <w:rFonts w:ascii="宋体" w:hAnsi="宋体" w:cs="宋体"/>
                <w:color w:val="000000"/>
                <w:kern w:val="0"/>
                <w:szCs w:val="21"/>
              </w:rPr>
            </w:pPr>
          </w:p>
        </w:tc>
      </w:tr>
      <w:tr w:rsidR="008215A0" w:rsidRPr="00CD00FB" w14:paraId="0E5CE8E6" w14:textId="77777777" w:rsidTr="00B27A98">
        <w:trPr>
          <w:trHeight w:val="315"/>
        </w:trPr>
        <w:tc>
          <w:tcPr>
            <w:tcW w:w="0" w:type="auto"/>
            <w:vMerge/>
            <w:vAlign w:val="center"/>
            <w:hideMark/>
          </w:tcPr>
          <w:p w14:paraId="025858B2" w14:textId="77777777" w:rsidR="008215A0" w:rsidRPr="00CD00FB" w:rsidRDefault="008215A0" w:rsidP="00B27A98">
            <w:pPr>
              <w:widowControl/>
              <w:jc w:val="left"/>
              <w:rPr>
                <w:rFonts w:ascii="宋体" w:hAnsi="宋体" w:cs="宋体"/>
                <w:color w:val="000000"/>
                <w:kern w:val="0"/>
                <w:szCs w:val="21"/>
              </w:rPr>
            </w:pPr>
          </w:p>
        </w:tc>
        <w:tc>
          <w:tcPr>
            <w:tcW w:w="0" w:type="auto"/>
            <w:vMerge/>
            <w:vAlign w:val="center"/>
            <w:hideMark/>
          </w:tcPr>
          <w:p w14:paraId="124F51ED" w14:textId="77777777" w:rsidR="008215A0" w:rsidRPr="00CD00FB" w:rsidRDefault="008215A0" w:rsidP="00B27A98">
            <w:pPr>
              <w:widowControl/>
              <w:jc w:val="left"/>
              <w:rPr>
                <w:rFonts w:ascii="宋体" w:hAnsi="宋体" w:cs="宋体"/>
                <w:color w:val="000000"/>
                <w:kern w:val="0"/>
                <w:szCs w:val="21"/>
              </w:rPr>
            </w:pPr>
          </w:p>
        </w:tc>
        <w:tc>
          <w:tcPr>
            <w:tcW w:w="0" w:type="auto"/>
            <w:vMerge/>
            <w:vAlign w:val="center"/>
            <w:hideMark/>
          </w:tcPr>
          <w:p w14:paraId="0806997D" w14:textId="77777777" w:rsidR="008215A0" w:rsidRPr="00CD00FB" w:rsidRDefault="008215A0" w:rsidP="00B27A98">
            <w:pPr>
              <w:widowControl/>
              <w:jc w:val="left"/>
              <w:rPr>
                <w:rFonts w:ascii="宋体" w:hAnsi="宋体" w:cs="宋体"/>
                <w:color w:val="000000"/>
                <w:kern w:val="0"/>
                <w:szCs w:val="21"/>
              </w:rPr>
            </w:pPr>
          </w:p>
        </w:tc>
        <w:tc>
          <w:tcPr>
            <w:tcW w:w="0" w:type="auto"/>
            <w:vMerge/>
            <w:vAlign w:val="center"/>
            <w:hideMark/>
          </w:tcPr>
          <w:p w14:paraId="003B1739" w14:textId="77777777" w:rsidR="008215A0" w:rsidRPr="00CD00FB" w:rsidRDefault="008215A0" w:rsidP="00B27A98">
            <w:pPr>
              <w:widowControl/>
              <w:jc w:val="left"/>
              <w:rPr>
                <w:rFonts w:ascii="宋体" w:hAnsi="宋体" w:cs="宋体"/>
                <w:color w:val="000000"/>
                <w:kern w:val="0"/>
                <w:szCs w:val="21"/>
              </w:rPr>
            </w:pPr>
          </w:p>
        </w:tc>
        <w:tc>
          <w:tcPr>
            <w:tcW w:w="0" w:type="auto"/>
            <w:vMerge/>
            <w:vAlign w:val="center"/>
            <w:hideMark/>
          </w:tcPr>
          <w:p w14:paraId="75F68BC5" w14:textId="77777777" w:rsidR="008215A0" w:rsidRPr="00CD00FB" w:rsidRDefault="008215A0" w:rsidP="00B27A98">
            <w:pPr>
              <w:widowControl/>
              <w:jc w:val="left"/>
              <w:rPr>
                <w:rFonts w:ascii="宋体" w:hAnsi="宋体" w:cs="宋体"/>
                <w:color w:val="000000"/>
                <w:kern w:val="0"/>
                <w:szCs w:val="21"/>
              </w:rPr>
            </w:pPr>
          </w:p>
        </w:tc>
      </w:tr>
      <w:tr w:rsidR="008215A0" w:rsidRPr="00CD00FB" w14:paraId="068C1047" w14:textId="77777777" w:rsidTr="00B27A98">
        <w:trPr>
          <w:trHeight w:val="300"/>
        </w:trPr>
        <w:tc>
          <w:tcPr>
            <w:tcW w:w="0" w:type="auto"/>
            <w:gridSpan w:val="2"/>
            <w:shd w:val="clear" w:color="000000" w:fill="F1F1F1"/>
            <w:noWrap/>
            <w:vAlign w:val="center"/>
            <w:hideMark/>
          </w:tcPr>
          <w:p w14:paraId="1D5F89D0"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栏次</w:t>
            </w:r>
          </w:p>
        </w:tc>
        <w:tc>
          <w:tcPr>
            <w:tcW w:w="0" w:type="auto"/>
            <w:shd w:val="clear" w:color="auto" w:fill="auto"/>
            <w:noWrap/>
            <w:vAlign w:val="center"/>
            <w:hideMark/>
          </w:tcPr>
          <w:p w14:paraId="7536A443"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1</w:t>
            </w:r>
          </w:p>
        </w:tc>
        <w:tc>
          <w:tcPr>
            <w:tcW w:w="0" w:type="auto"/>
            <w:shd w:val="clear" w:color="auto" w:fill="auto"/>
            <w:noWrap/>
            <w:vAlign w:val="center"/>
            <w:hideMark/>
          </w:tcPr>
          <w:p w14:paraId="4C4884EB"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2</w:t>
            </w:r>
          </w:p>
        </w:tc>
        <w:tc>
          <w:tcPr>
            <w:tcW w:w="0" w:type="auto"/>
            <w:shd w:val="clear" w:color="auto" w:fill="auto"/>
            <w:noWrap/>
            <w:vAlign w:val="center"/>
            <w:hideMark/>
          </w:tcPr>
          <w:p w14:paraId="151FF87A"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3</w:t>
            </w:r>
          </w:p>
        </w:tc>
      </w:tr>
      <w:tr w:rsidR="008215A0" w:rsidRPr="00CD00FB" w14:paraId="4175D043" w14:textId="77777777" w:rsidTr="00B27A98">
        <w:trPr>
          <w:trHeight w:val="300"/>
        </w:trPr>
        <w:tc>
          <w:tcPr>
            <w:tcW w:w="0" w:type="auto"/>
            <w:gridSpan w:val="2"/>
            <w:shd w:val="clear" w:color="000000" w:fill="F1F1F1"/>
            <w:noWrap/>
            <w:vAlign w:val="center"/>
            <w:hideMark/>
          </w:tcPr>
          <w:p w14:paraId="465930DC"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合计</w:t>
            </w:r>
          </w:p>
        </w:tc>
        <w:tc>
          <w:tcPr>
            <w:tcW w:w="0" w:type="auto"/>
            <w:shd w:val="clear" w:color="auto" w:fill="auto"/>
            <w:noWrap/>
            <w:vAlign w:val="center"/>
            <w:hideMark/>
          </w:tcPr>
          <w:p w14:paraId="66B4432F"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3,243.27</w:t>
            </w:r>
          </w:p>
        </w:tc>
        <w:tc>
          <w:tcPr>
            <w:tcW w:w="0" w:type="auto"/>
            <w:shd w:val="clear" w:color="auto" w:fill="auto"/>
            <w:noWrap/>
            <w:vAlign w:val="center"/>
            <w:hideMark/>
          </w:tcPr>
          <w:p w14:paraId="2C82450E"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1,624.13</w:t>
            </w:r>
          </w:p>
        </w:tc>
        <w:tc>
          <w:tcPr>
            <w:tcW w:w="0" w:type="auto"/>
            <w:shd w:val="clear" w:color="auto" w:fill="auto"/>
            <w:noWrap/>
            <w:vAlign w:val="center"/>
            <w:hideMark/>
          </w:tcPr>
          <w:p w14:paraId="1CA001E8"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1,619.14</w:t>
            </w:r>
          </w:p>
        </w:tc>
      </w:tr>
      <w:tr w:rsidR="008215A0" w:rsidRPr="00CD00FB" w14:paraId="151F65ED" w14:textId="77777777" w:rsidTr="00B27A98">
        <w:trPr>
          <w:trHeight w:val="300"/>
        </w:trPr>
        <w:tc>
          <w:tcPr>
            <w:tcW w:w="0" w:type="auto"/>
            <w:shd w:val="clear" w:color="000000" w:fill="FFFFFF"/>
            <w:noWrap/>
            <w:vAlign w:val="center"/>
            <w:hideMark/>
          </w:tcPr>
          <w:p w14:paraId="5FC36FE8"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2010401</w:t>
            </w:r>
          </w:p>
        </w:tc>
        <w:tc>
          <w:tcPr>
            <w:tcW w:w="0" w:type="auto"/>
            <w:shd w:val="clear" w:color="000000" w:fill="FFFFFF"/>
            <w:noWrap/>
            <w:vAlign w:val="center"/>
            <w:hideMark/>
          </w:tcPr>
          <w:p w14:paraId="67A901C1"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行政运行</w:t>
            </w:r>
          </w:p>
        </w:tc>
        <w:tc>
          <w:tcPr>
            <w:tcW w:w="0" w:type="auto"/>
            <w:shd w:val="clear" w:color="auto" w:fill="auto"/>
            <w:noWrap/>
            <w:vAlign w:val="center"/>
            <w:hideMark/>
          </w:tcPr>
          <w:p w14:paraId="59B52739"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1,193.58</w:t>
            </w:r>
          </w:p>
        </w:tc>
        <w:tc>
          <w:tcPr>
            <w:tcW w:w="0" w:type="auto"/>
            <w:shd w:val="clear" w:color="auto" w:fill="auto"/>
            <w:noWrap/>
            <w:vAlign w:val="center"/>
            <w:hideMark/>
          </w:tcPr>
          <w:p w14:paraId="15AE94F2"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1,193.58</w:t>
            </w:r>
          </w:p>
        </w:tc>
        <w:tc>
          <w:tcPr>
            <w:tcW w:w="0" w:type="auto"/>
            <w:shd w:val="clear" w:color="auto" w:fill="auto"/>
            <w:noWrap/>
            <w:vAlign w:val="center"/>
            <w:hideMark/>
          </w:tcPr>
          <w:p w14:paraId="6594B638"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130A1D1F" w14:textId="77777777" w:rsidTr="00B27A98">
        <w:trPr>
          <w:trHeight w:val="300"/>
        </w:trPr>
        <w:tc>
          <w:tcPr>
            <w:tcW w:w="0" w:type="auto"/>
            <w:shd w:val="clear" w:color="000000" w:fill="FFFFFF"/>
            <w:noWrap/>
            <w:vAlign w:val="center"/>
            <w:hideMark/>
          </w:tcPr>
          <w:p w14:paraId="7095F7EE"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2010402</w:t>
            </w:r>
          </w:p>
        </w:tc>
        <w:tc>
          <w:tcPr>
            <w:tcW w:w="0" w:type="auto"/>
            <w:shd w:val="clear" w:color="000000" w:fill="FFFFFF"/>
            <w:noWrap/>
            <w:vAlign w:val="center"/>
            <w:hideMark/>
          </w:tcPr>
          <w:p w14:paraId="44556690"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一般行政管理事务</w:t>
            </w:r>
          </w:p>
        </w:tc>
        <w:tc>
          <w:tcPr>
            <w:tcW w:w="0" w:type="auto"/>
            <w:shd w:val="clear" w:color="auto" w:fill="auto"/>
            <w:noWrap/>
            <w:vAlign w:val="center"/>
            <w:hideMark/>
          </w:tcPr>
          <w:p w14:paraId="1B4C7AF5"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50.00</w:t>
            </w:r>
          </w:p>
        </w:tc>
        <w:tc>
          <w:tcPr>
            <w:tcW w:w="0" w:type="auto"/>
            <w:shd w:val="clear" w:color="auto" w:fill="auto"/>
            <w:noWrap/>
            <w:vAlign w:val="center"/>
            <w:hideMark/>
          </w:tcPr>
          <w:p w14:paraId="6015B7E8"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0" w:type="auto"/>
            <w:shd w:val="clear" w:color="auto" w:fill="auto"/>
            <w:noWrap/>
            <w:vAlign w:val="center"/>
            <w:hideMark/>
          </w:tcPr>
          <w:p w14:paraId="3C3D343F"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50.00</w:t>
            </w:r>
          </w:p>
        </w:tc>
      </w:tr>
      <w:tr w:rsidR="008215A0" w:rsidRPr="00CD00FB" w14:paraId="505E541D" w14:textId="77777777" w:rsidTr="00B27A98">
        <w:trPr>
          <w:trHeight w:val="300"/>
        </w:trPr>
        <w:tc>
          <w:tcPr>
            <w:tcW w:w="0" w:type="auto"/>
            <w:shd w:val="clear" w:color="000000" w:fill="FFFFFF"/>
            <w:noWrap/>
            <w:vAlign w:val="center"/>
            <w:hideMark/>
          </w:tcPr>
          <w:p w14:paraId="060BE5A3"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2011308</w:t>
            </w:r>
          </w:p>
        </w:tc>
        <w:tc>
          <w:tcPr>
            <w:tcW w:w="0" w:type="auto"/>
            <w:shd w:val="clear" w:color="000000" w:fill="FFFFFF"/>
            <w:noWrap/>
            <w:vAlign w:val="center"/>
            <w:hideMark/>
          </w:tcPr>
          <w:p w14:paraId="11755A9C"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招商引资</w:t>
            </w:r>
          </w:p>
        </w:tc>
        <w:tc>
          <w:tcPr>
            <w:tcW w:w="0" w:type="auto"/>
            <w:shd w:val="clear" w:color="auto" w:fill="auto"/>
            <w:noWrap/>
            <w:vAlign w:val="center"/>
            <w:hideMark/>
          </w:tcPr>
          <w:p w14:paraId="5E21D595"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0.77</w:t>
            </w:r>
          </w:p>
        </w:tc>
        <w:tc>
          <w:tcPr>
            <w:tcW w:w="0" w:type="auto"/>
            <w:shd w:val="clear" w:color="auto" w:fill="auto"/>
            <w:noWrap/>
            <w:vAlign w:val="center"/>
            <w:hideMark/>
          </w:tcPr>
          <w:p w14:paraId="530B96D6"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0" w:type="auto"/>
            <w:shd w:val="clear" w:color="auto" w:fill="auto"/>
            <w:noWrap/>
            <w:vAlign w:val="center"/>
            <w:hideMark/>
          </w:tcPr>
          <w:p w14:paraId="7EA6642F"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0.77</w:t>
            </w:r>
          </w:p>
        </w:tc>
      </w:tr>
      <w:tr w:rsidR="008215A0" w:rsidRPr="00CD00FB" w14:paraId="340FB4FB" w14:textId="77777777" w:rsidTr="00B27A98">
        <w:trPr>
          <w:trHeight w:val="300"/>
        </w:trPr>
        <w:tc>
          <w:tcPr>
            <w:tcW w:w="0" w:type="auto"/>
            <w:shd w:val="clear" w:color="000000" w:fill="FFFFFF"/>
            <w:noWrap/>
            <w:vAlign w:val="center"/>
            <w:hideMark/>
          </w:tcPr>
          <w:p w14:paraId="4DCDABE2"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2080501</w:t>
            </w:r>
          </w:p>
        </w:tc>
        <w:tc>
          <w:tcPr>
            <w:tcW w:w="0" w:type="auto"/>
            <w:shd w:val="clear" w:color="000000" w:fill="FFFFFF"/>
            <w:noWrap/>
            <w:vAlign w:val="center"/>
            <w:hideMark/>
          </w:tcPr>
          <w:p w14:paraId="6647E4A7"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行政单位离退休</w:t>
            </w:r>
          </w:p>
        </w:tc>
        <w:tc>
          <w:tcPr>
            <w:tcW w:w="0" w:type="auto"/>
            <w:shd w:val="clear" w:color="auto" w:fill="auto"/>
            <w:noWrap/>
            <w:vAlign w:val="center"/>
            <w:hideMark/>
          </w:tcPr>
          <w:p w14:paraId="6F1BB58E"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23.85</w:t>
            </w:r>
          </w:p>
        </w:tc>
        <w:tc>
          <w:tcPr>
            <w:tcW w:w="0" w:type="auto"/>
            <w:shd w:val="clear" w:color="auto" w:fill="auto"/>
            <w:noWrap/>
            <w:vAlign w:val="center"/>
            <w:hideMark/>
          </w:tcPr>
          <w:p w14:paraId="1510EF17"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23.85</w:t>
            </w:r>
          </w:p>
        </w:tc>
        <w:tc>
          <w:tcPr>
            <w:tcW w:w="0" w:type="auto"/>
            <w:shd w:val="clear" w:color="auto" w:fill="auto"/>
            <w:noWrap/>
            <w:vAlign w:val="center"/>
            <w:hideMark/>
          </w:tcPr>
          <w:p w14:paraId="45B10B6A"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6CEDD6CE" w14:textId="77777777" w:rsidTr="00B27A98">
        <w:trPr>
          <w:trHeight w:val="300"/>
        </w:trPr>
        <w:tc>
          <w:tcPr>
            <w:tcW w:w="0" w:type="auto"/>
            <w:shd w:val="clear" w:color="000000" w:fill="FFFFFF"/>
            <w:noWrap/>
            <w:vAlign w:val="center"/>
            <w:hideMark/>
          </w:tcPr>
          <w:p w14:paraId="599EC1FF"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2080505</w:t>
            </w:r>
          </w:p>
        </w:tc>
        <w:tc>
          <w:tcPr>
            <w:tcW w:w="0" w:type="auto"/>
            <w:shd w:val="clear" w:color="000000" w:fill="FFFFFF"/>
            <w:noWrap/>
            <w:vAlign w:val="center"/>
            <w:hideMark/>
          </w:tcPr>
          <w:p w14:paraId="3A85320C"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机关事业单位基本养老保险缴费支出</w:t>
            </w:r>
          </w:p>
        </w:tc>
        <w:tc>
          <w:tcPr>
            <w:tcW w:w="0" w:type="auto"/>
            <w:shd w:val="clear" w:color="auto" w:fill="auto"/>
            <w:noWrap/>
            <w:vAlign w:val="center"/>
            <w:hideMark/>
          </w:tcPr>
          <w:p w14:paraId="22DDCB1B"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152.56</w:t>
            </w:r>
          </w:p>
        </w:tc>
        <w:tc>
          <w:tcPr>
            <w:tcW w:w="0" w:type="auto"/>
            <w:shd w:val="clear" w:color="auto" w:fill="auto"/>
            <w:noWrap/>
            <w:vAlign w:val="center"/>
            <w:hideMark/>
          </w:tcPr>
          <w:p w14:paraId="31C58EFF"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152.56</w:t>
            </w:r>
          </w:p>
        </w:tc>
        <w:tc>
          <w:tcPr>
            <w:tcW w:w="0" w:type="auto"/>
            <w:shd w:val="clear" w:color="auto" w:fill="auto"/>
            <w:noWrap/>
            <w:vAlign w:val="center"/>
            <w:hideMark/>
          </w:tcPr>
          <w:p w14:paraId="030B8B5B"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4B488BBC" w14:textId="77777777" w:rsidTr="00B27A98">
        <w:trPr>
          <w:trHeight w:val="300"/>
        </w:trPr>
        <w:tc>
          <w:tcPr>
            <w:tcW w:w="0" w:type="auto"/>
            <w:shd w:val="clear" w:color="000000" w:fill="FFFFFF"/>
            <w:noWrap/>
            <w:vAlign w:val="center"/>
            <w:hideMark/>
          </w:tcPr>
          <w:p w14:paraId="7B56983E"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2080506</w:t>
            </w:r>
          </w:p>
        </w:tc>
        <w:tc>
          <w:tcPr>
            <w:tcW w:w="0" w:type="auto"/>
            <w:shd w:val="clear" w:color="000000" w:fill="FFFFFF"/>
            <w:noWrap/>
            <w:vAlign w:val="center"/>
            <w:hideMark/>
          </w:tcPr>
          <w:p w14:paraId="441B7996"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机关事业单位职业年金缴费支出</w:t>
            </w:r>
          </w:p>
        </w:tc>
        <w:tc>
          <w:tcPr>
            <w:tcW w:w="0" w:type="auto"/>
            <w:shd w:val="clear" w:color="auto" w:fill="auto"/>
            <w:noWrap/>
            <w:vAlign w:val="center"/>
            <w:hideMark/>
          </w:tcPr>
          <w:p w14:paraId="6D143B18"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76.28</w:t>
            </w:r>
          </w:p>
        </w:tc>
        <w:tc>
          <w:tcPr>
            <w:tcW w:w="0" w:type="auto"/>
            <w:shd w:val="clear" w:color="auto" w:fill="auto"/>
            <w:noWrap/>
            <w:vAlign w:val="center"/>
            <w:hideMark/>
          </w:tcPr>
          <w:p w14:paraId="3C2BEC20"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76.28</w:t>
            </w:r>
          </w:p>
        </w:tc>
        <w:tc>
          <w:tcPr>
            <w:tcW w:w="0" w:type="auto"/>
            <w:shd w:val="clear" w:color="auto" w:fill="auto"/>
            <w:noWrap/>
            <w:vAlign w:val="center"/>
            <w:hideMark/>
          </w:tcPr>
          <w:p w14:paraId="7C0E4A62"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71E8C88D" w14:textId="77777777" w:rsidTr="00B27A98">
        <w:trPr>
          <w:trHeight w:val="300"/>
        </w:trPr>
        <w:tc>
          <w:tcPr>
            <w:tcW w:w="0" w:type="auto"/>
            <w:shd w:val="clear" w:color="000000" w:fill="FFFFFF"/>
            <w:noWrap/>
            <w:vAlign w:val="center"/>
            <w:hideMark/>
          </w:tcPr>
          <w:p w14:paraId="39258822"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2080711</w:t>
            </w:r>
          </w:p>
        </w:tc>
        <w:tc>
          <w:tcPr>
            <w:tcW w:w="0" w:type="auto"/>
            <w:shd w:val="clear" w:color="000000" w:fill="FFFFFF"/>
            <w:noWrap/>
            <w:vAlign w:val="center"/>
            <w:hideMark/>
          </w:tcPr>
          <w:p w14:paraId="6FE45C36"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就业见习补贴</w:t>
            </w:r>
          </w:p>
        </w:tc>
        <w:tc>
          <w:tcPr>
            <w:tcW w:w="0" w:type="auto"/>
            <w:shd w:val="clear" w:color="auto" w:fill="auto"/>
            <w:noWrap/>
            <w:vAlign w:val="center"/>
            <w:hideMark/>
          </w:tcPr>
          <w:p w14:paraId="26B277FC"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8.64</w:t>
            </w:r>
          </w:p>
        </w:tc>
        <w:tc>
          <w:tcPr>
            <w:tcW w:w="0" w:type="auto"/>
            <w:shd w:val="clear" w:color="auto" w:fill="auto"/>
            <w:noWrap/>
            <w:vAlign w:val="center"/>
            <w:hideMark/>
          </w:tcPr>
          <w:p w14:paraId="27B1B579"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0" w:type="auto"/>
            <w:shd w:val="clear" w:color="auto" w:fill="auto"/>
            <w:noWrap/>
            <w:vAlign w:val="center"/>
            <w:hideMark/>
          </w:tcPr>
          <w:p w14:paraId="678B9BE7"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8.64</w:t>
            </w:r>
          </w:p>
        </w:tc>
      </w:tr>
      <w:tr w:rsidR="008215A0" w:rsidRPr="00CD00FB" w14:paraId="5F09C3A2" w14:textId="77777777" w:rsidTr="00B27A98">
        <w:trPr>
          <w:trHeight w:val="300"/>
        </w:trPr>
        <w:tc>
          <w:tcPr>
            <w:tcW w:w="0" w:type="auto"/>
            <w:shd w:val="clear" w:color="000000" w:fill="FFFFFF"/>
            <w:noWrap/>
            <w:vAlign w:val="center"/>
            <w:hideMark/>
          </w:tcPr>
          <w:p w14:paraId="0A62CF0C"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2101101</w:t>
            </w:r>
          </w:p>
        </w:tc>
        <w:tc>
          <w:tcPr>
            <w:tcW w:w="0" w:type="auto"/>
            <w:shd w:val="clear" w:color="000000" w:fill="FFFFFF"/>
            <w:noWrap/>
            <w:vAlign w:val="center"/>
            <w:hideMark/>
          </w:tcPr>
          <w:p w14:paraId="0BADC2B9"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行政单位医疗</w:t>
            </w:r>
          </w:p>
        </w:tc>
        <w:tc>
          <w:tcPr>
            <w:tcW w:w="0" w:type="auto"/>
            <w:shd w:val="clear" w:color="auto" w:fill="auto"/>
            <w:noWrap/>
            <w:vAlign w:val="center"/>
            <w:hideMark/>
          </w:tcPr>
          <w:p w14:paraId="2413F200"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53.74</w:t>
            </w:r>
          </w:p>
        </w:tc>
        <w:tc>
          <w:tcPr>
            <w:tcW w:w="0" w:type="auto"/>
            <w:shd w:val="clear" w:color="auto" w:fill="auto"/>
            <w:noWrap/>
            <w:vAlign w:val="center"/>
            <w:hideMark/>
          </w:tcPr>
          <w:p w14:paraId="2C37A5B8"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53.74</w:t>
            </w:r>
          </w:p>
        </w:tc>
        <w:tc>
          <w:tcPr>
            <w:tcW w:w="0" w:type="auto"/>
            <w:shd w:val="clear" w:color="auto" w:fill="auto"/>
            <w:noWrap/>
            <w:vAlign w:val="center"/>
            <w:hideMark/>
          </w:tcPr>
          <w:p w14:paraId="6DDD54C4"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6F9EBED1" w14:textId="77777777" w:rsidTr="00B27A98">
        <w:trPr>
          <w:trHeight w:val="300"/>
        </w:trPr>
        <w:tc>
          <w:tcPr>
            <w:tcW w:w="0" w:type="auto"/>
            <w:shd w:val="clear" w:color="000000" w:fill="FFFFFF"/>
            <w:noWrap/>
            <w:vAlign w:val="center"/>
            <w:hideMark/>
          </w:tcPr>
          <w:p w14:paraId="14A3155D"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2210201</w:t>
            </w:r>
          </w:p>
        </w:tc>
        <w:tc>
          <w:tcPr>
            <w:tcW w:w="0" w:type="auto"/>
            <w:shd w:val="clear" w:color="000000" w:fill="FFFFFF"/>
            <w:noWrap/>
            <w:vAlign w:val="center"/>
            <w:hideMark/>
          </w:tcPr>
          <w:p w14:paraId="4F775FC2"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住房公积金</w:t>
            </w:r>
          </w:p>
        </w:tc>
        <w:tc>
          <w:tcPr>
            <w:tcW w:w="0" w:type="auto"/>
            <w:shd w:val="clear" w:color="auto" w:fill="auto"/>
            <w:noWrap/>
            <w:vAlign w:val="center"/>
            <w:hideMark/>
          </w:tcPr>
          <w:p w14:paraId="31A1808D"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124.12</w:t>
            </w:r>
          </w:p>
        </w:tc>
        <w:tc>
          <w:tcPr>
            <w:tcW w:w="0" w:type="auto"/>
            <w:shd w:val="clear" w:color="auto" w:fill="auto"/>
            <w:noWrap/>
            <w:vAlign w:val="center"/>
            <w:hideMark/>
          </w:tcPr>
          <w:p w14:paraId="1BCD6A5B"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124.12</w:t>
            </w:r>
          </w:p>
        </w:tc>
        <w:tc>
          <w:tcPr>
            <w:tcW w:w="0" w:type="auto"/>
            <w:shd w:val="clear" w:color="auto" w:fill="auto"/>
            <w:noWrap/>
            <w:vAlign w:val="center"/>
            <w:hideMark/>
          </w:tcPr>
          <w:p w14:paraId="3275E353"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505F53F0" w14:textId="77777777" w:rsidTr="00B27A98">
        <w:trPr>
          <w:trHeight w:val="300"/>
        </w:trPr>
        <w:tc>
          <w:tcPr>
            <w:tcW w:w="0" w:type="auto"/>
            <w:shd w:val="clear" w:color="000000" w:fill="FFFFFF"/>
            <w:noWrap/>
            <w:vAlign w:val="center"/>
            <w:hideMark/>
          </w:tcPr>
          <w:p w14:paraId="380B45B2"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2220106</w:t>
            </w:r>
          </w:p>
        </w:tc>
        <w:tc>
          <w:tcPr>
            <w:tcW w:w="0" w:type="auto"/>
            <w:shd w:val="clear" w:color="000000" w:fill="FFFFFF"/>
            <w:noWrap/>
            <w:vAlign w:val="center"/>
            <w:hideMark/>
          </w:tcPr>
          <w:p w14:paraId="237D9B8D"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专项业务活动</w:t>
            </w:r>
          </w:p>
        </w:tc>
        <w:tc>
          <w:tcPr>
            <w:tcW w:w="0" w:type="auto"/>
            <w:shd w:val="clear" w:color="auto" w:fill="auto"/>
            <w:noWrap/>
            <w:vAlign w:val="center"/>
            <w:hideMark/>
          </w:tcPr>
          <w:p w14:paraId="24C53A8E"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8.00</w:t>
            </w:r>
          </w:p>
        </w:tc>
        <w:tc>
          <w:tcPr>
            <w:tcW w:w="0" w:type="auto"/>
            <w:shd w:val="clear" w:color="auto" w:fill="auto"/>
            <w:noWrap/>
            <w:vAlign w:val="center"/>
            <w:hideMark/>
          </w:tcPr>
          <w:p w14:paraId="3D641441"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0" w:type="auto"/>
            <w:shd w:val="clear" w:color="auto" w:fill="auto"/>
            <w:noWrap/>
            <w:vAlign w:val="center"/>
            <w:hideMark/>
          </w:tcPr>
          <w:p w14:paraId="4369E412"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8.00</w:t>
            </w:r>
          </w:p>
        </w:tc>
      </w:tr>
      <w:tr w:rsidR="008215A0" w:rsidRPr="00CD00FB" w14:paraId="15AEF849" w14:textId="77777777" w:rsidTr="00B27A98">
        <w:trPr>
          <w:trHeight w:val="300"/>
        </w:trPr>
        <w:tc>
          <w:tcPr>
            <w:tcW w:w="0" w:type="auto"/>
            <w:shd w:val="clear" w:color="000000" w:fill="FFFFFF"/>
            <w:noWrap/>
            <w:vAlign w:val="center"/>
            <w:hideMark/>
          </w:tcPr>
          <w:p w14:paraId="74241060"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2220199</w:t>
            </w:r>
          </w:p>
        </w:tc>
        <w:tc>
          <w:tcPr>
            <w:tcW w:w="0" w:type="auto"/>
            <w:shd w:val="clear" w:color="000000" w:fill="FFFFFF"/>
            <w:noWrap/>
            <w:vAlign w:val="center"/>
            <w:hideMark/>
          </w:tcPr>
          <w:p w14:paraId="26952C30"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其他粮油物资事务支出</w:t>
            </w:r>
          </w:p>
        </w:tc>
        <w:tc>
          <w:tcPr>
            <w:tcW w:w="0" w:type="auto"/>
            <w:shd w:val="clear" w:color="auto" w:fill="auto"/>
            <w:noWrap/>
            <w:vAlign w:val="center"/>
            <w:hideMark/>
          </w:tcPr>
          <w:p w14:paraId="43CCE3E9"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587.00</w:t>
            </w:r>
          </w:p>
        </w:tc>
        <w:tc>
          <w:tcPr>
            <w:tcW w:w="0" w:type="auto"/>
            <w:shd w:val="clear" w:color="auto" w:fill="auto"/>
            <w:noWrap/>
            <w:vAlign w:val="center"/>
            <w:hideMark/>
          </w:tcPr>
          <w:p w14:paraId="26503D82"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0" w:type="auto"/>
            <w:shd w:val="clear" w:color="auto" w:fill="auto"/>
            <w:noWrap/>
            <w:vAlign w:val="center"/>
            <w:hideMark/>
          </w:tcPr>
          <w:p w14:paraId="6F547239"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587.00</w:t>
            </w:r>
          </w:p>
        </w:tc>
      </w:tr>
      <w:tr w:rsidR="008215A0" w:rsidRPr="00CD00FB" w14:paraId="0331AA5C" w14:textId="77777777" w:rsidTr="00B27A98">
        <w:trPr>
          <w:trHeight w:val="300"/>
        </w:trPr>
        <w:tc>
          <w:tcPr>
            <w:tcW w:w="0" w:type="auto"/>
            <w:shd w:val="clear" w:color="000000" w:fill="FFFFFF"/>
            <w:noWrap/>
            <w:vAlign w:val="center"/>
            <w:hideMark/>
          </w:tcPr>
          <w:p w14:paraId="7477BA7E"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2299999</w:t>
            </w:r>
          </w:p>
        </w:tc>
        <w:tc>
          <w:tcPr>
            <w:tcW w:w="0" w:type="auto"/>
            <w:shd w:val="clear" w:color="000000" w:fill="FFFFFF"/>
            <w:noWrap/>
            <w:vAlign w:val="center"/>
            <w:hideMark/>
          </w:tcPr>
          <w:p w14:paraId="303A79E5"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其他支出</w:t>
            </w:r>
          </w:p>
        </w:tc>
        <w:tc>
          <w:tcPr>
            <w:tcW w:w="0" w:type="auto"/>
            <w:shd w:val="clear" w:color="auto" w:fill="auto"/>
            <w:noWrap/>
            <w:vAlign w:val="center"/>
            <w:hideMark/>
          </w:tcPr>
          <w:p w14:paraId="4E63256D"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964.73</w:t>
            </w:r>
          </w:p>
        </w:tc>
        <w:tc>
          <w:tcPr>
            <w:tcW w:w="0" w:type="auto"/>
            <w:shd w:val="clear" w:color="auto" w:fill="auto"/>
            <w:noWrap/>
            <w:vAlign w:val="center"/>
            <w:hideMark/>
          </w:tcPr>
          <w:p w14:paraId="4C9F9B44"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0" w:type="auto"/>
            <w:shd w:val="clear" w:color="auto" w:fill="auto"/>
            <w:noWrap/>
            <w:vAlign w:val="center"/>
            <w:hideMark/>
          </w:tcPr>
          <w:p w14:paraId="22146349"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964.73</w:t>
            </w:r>
          </w:p>
        </w:tc>
      </w:tr>
      <w:tr w:rsidR="008215A0" w:rsidRPr="00CD00FB" w14:paraId="64D94DAD" w14:textId="77777777" w:rsidTr="00B27A98">
        <w:trPr>
          <w:trHeight w:val="300"/>
        </w:trPr>
        <w:tc>
          <w:tcPr>
            <w:tcW w:w="0" w:type="auto"/>
            <w:gridSpan w:val="5"/>
            <w:shd w:val="clear" w:color="000000" w:fill="FFFFFF"/>
            <w:noWrap/>
            <w:vAlign w:val="center"/>
            <w:hideMark/>
          </w:tcPr>
          <w:p w14:paraId="23613FCC"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注：本表反映部门本年度一般公共预算财政拨款支出情况。</w:t>
            </w:r>
          </w:p>
        </w:tc>
      </w:tr>
    </w:tbl>
    <w:p w14:paraId="7F85CB26" w14:textId="77777777" w:rsidR="008215A0" w:rsidRDefault="008215A0" w:rsidP="008215A0">
      <w:pPr>
        <w:jc w:val="center"/>
        <w:rPr>
          <w:rFonts w:ascii="黑体" w:eastAsia="黑体" w:hAnsi="黑体"/>
          <w:sz w:val="32"/>
          <w:szCs w:val="32"/>
        </w:rPr>
      </w:pPr>
      <w:r>
        <w:rPr>
          <w:rFonts w:ascii="黑体" w:eastAsia="黑体" w:hAnsi="黑体" w:hint="eastAsia"/>
          <w:sz w:val="32"/>
          <w:szCs w:val="32"/>
        </w:rPr>
        <w:t xml:space="preserve"> </w:t>
      </w:r>
    </w:p>
    <w:p w14:paraId="4ACF60D2" w14:textId="77777777" w:rsidR="008215A0" w:rsidRDefault="008215A0" w:rsidP="008215A0">
      <w:pPr>
        <w:widowControl/>
        <w:jc w:val="left"/>
        <w:rPr>
          <w:rFonts w:ascii="黑体" w:eastAsia="黑体" w:hAnsi="黑体"/>
          <w:sz w:val="32"/>
          <w:szCs w:val="32"/>
        </w:rPr>
      </w:pPr>
      <w:r>
        <w:rPr>
          <w:rFonts w:ascii="黑体" w:eastAsia="黑体" w:hAnsi="黑体"/>
          <w:sz w:val="32"/>
          <w:szCs w:val="32"/>
        </w:rPr>
        <w:br w:type="page"/>
      </w:r>
    </w:p>
    <w:p w14:paraId="10C24769" w14:textId="77777777" w:rsidR="008215A0" w:rsidRDefault="008215A0" w:rsidP="008215A0">
      <w:pPr>
        <w:jc w:val="center"/>
        <w:rPr>
          <w:rFonts w:ascii="黑体" w:eastAsia="黑体" w:hAnsi="黑体"/>
          <w:sz w:val="32"/>
          <w:szCs w:val="32"/>
        </w:rPr>
      </w:pPr>
      <w:r>
        <w:rPr>
          <w:rFonts w:ascii="黑体" w:eastAsia="黑体" w:hAnsi="黑体" w:hint="eastAsia"/>
          <w:sz w:val="32"/>
          <w:szCs w:val="32"/>
        </w:rPr>
        <w:lastRenderedPageBreak/>
        <w:t>一般公共预算财政拨款基本支出决算明细表</w:t>
      </w:r>
    </w:p>
    <w:tbl>
      <w:tblPr>
        <w:tblW w:w="7236" w:type="pct"/>
        <w:jc w:val="center"/>
        <w:tblLook w:val="04A0" w:firstRow="1" w:lastRow="0" w:firstColumn="1" w:lastColumn="0" w:noHBand="0" w:noVBand="1"/>
      </w:tblPr>
      <w:tblGrid>
        <w:gridCol w:w="616"/>
        <w:gridCol w:w="2616"/>
        <w:gridCol w:w="856"/>
        <w:gridCol w:w="616"/>
        <w:gridCol w:w="1816"/>
        <w:gridCol w:w="696"/>
        <w:gridCol w:w="616"/>
        <w:gridCol w:w="3256"/>
        <w:gridCol w:w="696"/>
        <w:gridCol w:w="222"/>
      </w:tblGrid>
      <w:tr w:rsidR="008215A0" w:rsidRPr="00CD00FB" w14:paraId="66FDF7D4" w14:textId="77777777" w:rsidTr="00B27A98">
        <w:trPr>
          <w:gridAfter w:val="1"/>
          <w:wAfter w:w="92" w:type="pct"/>
          <w:trHeight w:val="300"/>
          <w:jc w:val="center"/>
        </w:trPr>
        <w:tc>
          <w:tcPr>
            <w:tcW w:w="1702" w:type="pct"/>
            <w:gridSpan w:val="3"/>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083A48EF" w14:textId="77777777" w:rsidR="008215A0" w:rsidRPr="00CD00FB" w:rsidRDefault="008215A0" w:rsidP="00B27A98">
            <w:pPr>
              <w:widowControl/>
              <w:jc w:val="center"/>
              <w:rPr>
                <w:rFonts w:ascii="宋体" w:hAnsi="宋体" w:cs="宋体"/>
                <w:color w:val="000000"/>
                <w:kern w:val="0"/>
                <w:sz w:val="16"/>
                <w:szCs w:val="16"/>
              </w:rPr>
            </w:pPr>
            <w:r w:rsidRPr="00CD00FB">
              <w:rPr>
                <w:rFonts w:ascii="宋体" w:hAnsi="宋体" w:cs="宋体" w:hint="eastAsia"/>
                <w:color w:val="000000"/>
                <w:kern w:val="0"/>
                <w:sz w:val="16"/>
                <w:szCs w:val="16"/>
              </w:rPr>
              <w:t>人员经费</w:t>
            </w:r>
          </w:p>
        </w:tc>
        <w:tc>
          <w:tcPr>
            <w:tcW w:w="3205" w:type="pct"/>
            <w:gridSpan w:val="6"/>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F0CBEBC" w14:textId="77777777" w:rsidR="008215A0" w:rsidRPr="00CD00FB" w:rsidRDefault="008215A0" w:rsidP="00B27A98">
            <w:pPr>
              <w:widowControl/>
              <w:jc w:val="center"/>
              <w:rPr>
                <w:rFonts w:ascii="宋体" w:hAnsi="宋体" w:cs="宋体"/>
                <w:color w:val="000000"/>
                <w:kern w:val="0"/>
                <w:sz w:val="16"/>
                <w:szCs w:val="16"/>
              </w:rPr>
            </w:pPr>
            <w:r w:rsidRPr="00CD00FB">
              <w:rPr>
                <w:rFonts w:ascii="宋体" w:hAnsi="宋体" w:cs="宋体" w:hint="eastAsia"/>
                <w:color w:val="000000"/>
                <w:kern w:val="0"/>
                <w:sz w:val="16"/>
                <w:szCs w:val="16"/>
              </w:rPr>
              <w:t>公用经费</w:t>
            </w:r>
          </w:p>
        </w:tc>
      </w:tr>
      <w:tr w:rsidR="008215A0" w:rsidRPr="00CD00FB" w14:paraId="7AC84586" w14:textId="77777777" w:rsidTr="00B27A98">
        <w:trPr>
          <w:gridAfter w:val="1"/>
          <w:wAfter w:w="92" w:type="pct"/>
          <w:trHeight w:val="315"/>
          <w:jc w:val="center"/>
        </w:trPr>
        <w:tc>
          <w:tcPr>
            <w:tcW w:w="257" w:type="pct"/>
            <w:vMerge w:val="restart"/>
            <w:tcBorders>
              <w:top w:val="single" w:sz="4" w:space="0" w:color="auto"/>
              <w:left w:val="single" w:sz="4" w:space="0" w:color="auto"/>
              <w:bottom w:val="single" w:sz="4" w:space="0" w:color="auto"/>
              <w:right w:val="single" w:sz="4" w:space="0" w:color="auto"/>
            </w:tcBorders>
            <w:shd w:val="clear" w:color="000000" w:fill="F1F1F1"/>
            <w:vAlign w:val="center"/>
            <w:hideMark/>
          </w:tcPr>
          <w:p w14:paraId="38196F6F" w14:textId="77777777" w:rsidR="008215A0" w:rsidRPr="00CD00FB" w:rsidRDefault="008215A0" w:rsidP="00B27A98">
            <w:pPr>
              <w:widowControl/>
              <w:jc w:val="center"/>
              <w:rPr>
                <w:rFonts w:ascii="宋体" w:hAnsi="宋体" w:cs="宋体"/>
                <w:color w:val="000000"/>
                <w:kern w:val="0"/>
                <w:sz w:val="16"/>
                <w:szCs w:val="16"/>
              </w:rPr>
            </w:pPr>
            <w:r w:rsidRPr="00CD00FB">
              <w:rPr>
                <w:rFonts w:ascii="宋体" w:hAnsi="宋体" w:cs="宋体" w:hint="eastAsia"/>
                <w:color w:val="000000"/>
                <w:kern w:val="0"/>
                <w:sz w:val="16"/>
                <w:szCs w:val="16"/>
              </w:rPr>
              <w:t>科目代码</w:t>
            </w:r>
          </w:p>
        </w:tc>
        <w:tc>
          <w:tcPr>
            <w:tcW w:w="1089" w:type="pct"/>
            <w:vMerge w:val="restart"/>
            <w:tcBorders>
              <w:top w:val="single" w:sz="4" w:space="0" w:color="auto"/>
              <w:left w:val="single" w:sz="4" w:space="0" w:color="auto"/>
              <w:bottom w:val="single" w:sz="4" w:space="0" w:color="auto"/>
              <w:right w:val="single" w:sz="4" w:space="0" w:color="auto"/>
            </w:tcBorders>
            <w:shd w:val="clear" w:color="000000" w:fill="F1F1F1"/>
            <w:vAlign w:val="center"/>
            <w:hideMark/>
          </w:tcPr>
          <w:p w14:paraId="42D4D2FC" w14:textId="77777777" w:rsidR="008215A0" w:rsidRPr="00CD00FB" w:rsidRDefault="008215A0" w:rsidP="00B27A98">
            <w:pPr>
              <w:widowControl/>
              <w:jc w:val="center"/>
              <w:rPr>
                <w:rFonts w:ascii="宋体" w:hAnsi="宋体" w:cs="宋体"/>
                <w:color w:val="000000"/>
                <w:kern w:val="0"/>
                <w:sz w:val="16"/>
                <w:szCs w:val="16"/>
              </w:rPr>
            </w:pPr>
            <w:r w:rsidRPr="00CD00FB">
              <w:rPr>
                <w:rFonts w:ascii="宋体" w:hAnsi="宋体" w:cs="宋体" w:hint="eastAsia"/>
                <w:color w:val="000000"/>
                <w:kern w:val="0"/>
                <w:sz w:val="16"/>
                <w:szCs w:val="16"/>
              </w:rPr>
              <w:t>科目名称</w:t>
            </w:r>
          </w:p>
        </w:tc>
        <w:tc>
          <w:tcPr>
            <w:tcW w:w="356" w:type="pct"/>
            <w:vMerge w:val="restart"/>
            <w:tcBorders>
              <w:top w:val="single" w:sz="4" w:space="0" w:color="auto"/>
              <w:left w:val="single" w:sz="4" w:space="0" w:color="auto"/>
              <w:bottom w:val="single" w:sz="4" w:space="0" w:color="auto"/>
              <w:right w:val="single" w:sz="4" w:space="0" w:color="auto"/>
            </w:tcBorders>
            <w:shd w:val="clear" w:color="000000" w:fill="F1F1F1"/>
            <w:vAlign w:val="center"/>
            <w:hideMark/>
          </w:tcPr>
          <w:p w14:paraId="79AEE955" w14:textId="77777777" w:rsidR="008215A0" w:rsidRPr="00CD00FB" w:rsidRDefault="008215A0" w:rsidP="00B27A98">
            <w:pPr>
              <w:widowControl/>
              <w:jc w:val="center"/>
              <w:rPr>
                <w:rFonts w:ascii="宋体" w:hAnsi="宋体" w:cs="宋体"/>
                <w:color w:val="000000"/>
                <w:kern w:val="0"/>
                <w:sz w:val="16"/>
                <w:szCs w:val="16"/>
              </w:rPr>
            </w:pPr>
            <w:r w:rsidRPr="00CD00FB">
              <w:rPr>
                <w:rFonts w:ascii="宋体" w:hAnsi="宋体" w:cs="宋体" w:hint="eastAsia"/>
                <w:color w:val="000000"/>
                <w:kern w:val="0"/>
                <w:sz w:val="16"/>
                <w:szCs w:val="16"/>
              </w:rPr>
              <w:t>决算数</w:t>
            </w:r>
          </w:p>
        </w:tc>
        <w:tc>
          <w:tcPr>
            <w:tcW w:w="257" w:type="pct"/>
            <w:vMerge w:val="restart"/>
            <w:tcBorders>
              <w:top w:val="single" w:sz="4" w:space="0" w:color="auto"/>
              <w:left w:val="single" w:sz="4" w:space="0" w:color="auto"/>
              <w:bottom w:val="single" w:sz="4" w:space="0" w:color="auto"/>
              <w:right w:val="single" w:sz="4" w:space="0" w:color="auto"/>
            </w:tcBorders>
            <w:shd w:val="clear" w:color="000000" w:fill="F1F1F1"/>
            <w:vAlign w:val="center"/>
            <w:hideMark/>
          </w:tcPr>
          <w:p w14:paraId="463A4F46" w14:textId="77777777" w:rsidR="008215A0" w:rsidRPr="00CD00FB" w:rsidRDefault="008215A0" w:rsidP="00B27A98">
            <w:pPr>
              <w:widowControl/>
              <w:jc w:val="center"/>
              <w:rPr>
                <w:rFonts w:ascii="宋体" w:hAnsi="宋体" w:cs="宋体"/>
                <w:color w:val="000000"/>
                <w:kern w:val="0"/>
                <w:sz w:val="16"/>
                <w:szCs w:val="16"/>
              </w:rPr>
            </w:pPr>
            <w:r w:rsidRPr="00CD00FB">
              <w:rPr>
                <w:rFonts w:ascii="宋体" w:hAnsi="宋体" w:cs="宋体" w:hint="eastAsia"/>
                <w:color w:val="000000"/>
                <w:kern w:val="0"/>
                <w:sz w:val="16"/>
                <w:szCs w:val="16"/>
              </w:rPr>
              <w:t>科目代码</w:t>
            </w:r>
          </w:p>
        </w:tc>
        <w:tc>
          <w:tcPr>
            <w:tcW w:w="756" w:type="pct"/>
            <w:vMerge w:val="restart"/>
            <w:tcBorders>
              <w:top w:val="single" w:sz="4" w:space="0" w:color="auto"/>
              <w:left w:val="single" w:sz="4" w:space="0" w:color="auto"/>
              <w:bottom w:val="single" w:sz="4" w:space="0" w:color="auto"/>
              <w:right w:val="single" w:sz="4" w:space="0" w:color="auto"/>
            </w:tcBorders>
            <w:shd w:val="clear" w:color="000000" w:fill="F1F1F1"/>
            <w:vAlign w:val="center"/>
            <w:hideMark/>
          </w:tcPr>
          <w:p w14:paraId="460011C3" w14:textId="77777777" w:rsidR="008215A0" w:rsidRPr="00CD00FB" w:rsidRDefault="008215A0" w:rsidP="00B27A98">
            <w:pPr>
              <w:widowControl/>
              <w:jc w:val="center"/>
              <w:rPr>
                <w:rFonts w:ascii="宋体" w:hAnsi="宋体" w:cs="宋体"/>
                <w:color w:val="000000"/>
                <w:kern w:val="0"/>
                <w:sz w:val="16"/>
                <w:szCs w:val="16"/>
              </w:rPr>
            </w:pPr>
            <w:r w:rsidRPr="00CD00FB">
              <w:rPr>
                <w:rFonts w:ascii="宋体" w:hAnsi="宋体" w:cs="宋体" w:hint="eastAsia"/>
                <w:color w:val="000000"/>
                <w:kern w:val="0"/>
                <w:sz w:val="16"/>
                <w:szCs w:val="16"/>
              </w:rPr>
              <w:t>科目名称</w:t>
            </w:r>
          </w:p>
        </w:tc>
        <w:tc>
          <w:tcPr>
            <w:tcW w:w="290" w:type="pct"/>
            <w:vMerge w:val="restart"/>
            <w:tcBorders>
              <w:top w:val="single" w:sz="4" w:space="0" w:color="auto"/>
              <w:left w:val="single" w:sz="4" w:space="0" w:color="auto"/>
              <w:bottom w:val="single" w:sz="4" w:space="0" w:color="auto"/>
              <w:right w:val="single" w:sz="4" w:space="0" w:color="auto"/>
            </w:tcBorders>
            <w:shd w:val="clear" w:color="000000" w:fill="F1F1F1"/>
            <w:vAlign w:val="center"/>
            <w:hideMark/>
          </w:tcPr>
          <w:p w14:paraId="0BB63DCF" w14:textId="77777777" w:rsidR="008215A0" w:rsidRPr="00CD00FB" w:rsidRDefault="008215A0" w:rsidP="00B27A98">
            <w:pPr>
              <w:widowControl/>
              <w:jc w:val="center"/>
              <w:rPr>
                <w:rFonts w:ascii="宋体" w:hAnsi="宋体" w:cs="宋体"/>
                <w:color w:val="000000"/>
                <w:kern w:val="0"/>
                <w:sz w:val="16"/>
                <w:szCs w:val="16"/>
              </w:rPr>
            </w:pPr>
            <w:r w:rsidRPr="00CD00FB">
              <w:rPr>
                <w:rFonts w:ascii="宋体" w:hAnsi="宋体" w:cs="宋体" w:hint="eastAsia"/>
                <w:color w:val="000000"/>
                <w:kern w:val="0"/>
                <w:sz w:val="16"/>
                <w:szCs w:val="16"/>
              </w:rPr>
              <w:t>决算数</w:t>
            </w:r>
          </w:p>
        </w:tc>
        <w:tc>
          <w:tcPr>
            <w:tcW w:w="257" w:type="pct"/>
            <w:vMerge w:val="restart"/>
            <w:tcBorders>
              <w:top w:val="single" w:sz="4" w:space="0" w:color="auto"/>
              <w:left w:val="single" w:sz="4" w:space="0" w:color="auto"/>
              <w:bottom w:val="single" w:sz="4" w:space="0" w:color="auto"/>
              <w:right w:val="single" w:sz="4" w:space="0" w:color="auto"/>
            </w:tcBorders>
            <w:shd w:val="clear" w:color="000000" w:fill="F1F1F1"/>
            <w:vAlign w:val="center"/>
            <w:hideMark/>
          </w:tcPr>
          <w:p w14:paraId="696DEB1D" w14:textId="77777777" w:rsidR="008215A0" w:rsidRPr="00CD00FB" w:rsidRDefault="008215A0" w:rsidP="00B27A98">
            <w:pPr>
              <w:widowControl/>
              <w:jc w:val="center"/>
              <w:rPr>
                <w:rFonts w:ascii="宋体" w:hAnsi="宋体" w:cs="宋体"/>
                <w:color w:val="000000"/>
                <w:kern w:val="0"/>
                <w:sz w:val="16"/>
                <w:szCs w:val="16"/>
              </w:rPr>
            </w:pPr>
            <w:r w:rsidRPr="00CD00FB">
              <w:rPr>
                <w:rFonts w:ascii="宋体" w:hAnsi="宋体" w:cs="宋体" w:hint="eastAsia"/>
                <w:color w:val="000000"/>
                <w:kern w:val="0"/>
                <w:sz w:val="16"/>
                <w:szCs w:val="16"/>
              </w:rPr>
              <w:t>科目代码</w:t>
            </w:r>
          </w:p>
        </w:tc>
        <w:tc>
          <w:tcPr>
            <w:tcW w:w="1356" w:type="pct"/>
            <w:vMerge w:val="restart"/>
            <w:tcBorders>
              <w:top w:val="single" w:sz="4" w:space="0" w:color="auto"/>
              <w:left w:val="single" w:sz="4" w:space="0" w:color="auto"/>
              <w:bottom w:val="single" w:sz="4" w:space="0" w:color="auto"/>
              <w:right w:val="single" w:sz="4" w:space="0" w:color="auto"/>
            </w:tcBorders>
            <w:shd w:val="clear" w:color="000000" w:fill="F1F1F1"/>
            <w:vAlign w:val="center"/>
            <w:hideMark/>
          </w:tcPr>
          <w:p w14:paraId="38E1AB3A" w14:textId="77777777" w:rsidR="008215A0" w:rsidRPr="00CD00FB" w:rsidRDefault="008215A0" w:rsidP="00B27A98">
            <w:pPr>
              <w:widowControl/>
              <w:jc w:val="center"/>
              <w:rPr>
                <w:rFonts w:ascii="宋体" w:hAnsi="宋体" w:cs="宋体"/>
                <w:color w:val="000000"/>
                <w:kern w:val="0"/>
                <w:sz w:val="16"/>
                <w:szCs w:val="16"/>
              </w:rPr>
            </w:pPr>
            <w:r w:rsidRPr="00CD00FB">
              <w:rPr>
                <w:rFonts w:ascii="宋体" w:hAnsi="宋体" w:cs="宋体" w:hint="eastAsia"/>
                <w:color w:val="000000"/>
                <w:kern w:val="0"/>
                <w:sz w:val="16"/>
                <w:szCs w:val="16"/>
              </w:rPr>
              <w:t>科目名称</w:t>
            </w:r>
          </w:p>
        </w:tc>
        <w:tc>
          <w:tcPr>
            <w:tcW w:w="290" w:type="pct"/>
            <w:vMerge w:val="restart"/>
            <w:tcBorders>
              <w:top w:val="single" w:sz="4" w:space="0" w:color="auto"/>
              <w:left w:val="single" w:sz="4" w:space="0" w:color="auto"/>
              <w:bottom w:val="single" w:sz="4" w:space="0" w:color="auto"/>
              <w:right w:val="single" w:sz="4" w:space="0" w:color="auto"/>
            </w:tcBorders>
            <w:shd w:val="clear" w:color="000000" w:fill="F1F1F1"/>
            <w:vAlign w:val="center"/>
            <w:hideMark/>
          </w:tcPr>
          <w:p w14:paraId="447294EE" w14:textId="77777777" w:rsidR="008215A0" w:rsidRPr="00CD00FB" w:rsidRDefault="008215A0" w:rsidP="00B27A98">
            <w:pPr>
              <w:widowControl/>
              <w:jc w:val="center"/>
              <w:rPr>
                <w:rFonts w:ascii="宋体" w:hAnsi="宋体" w:cs="宋体"/>
                <w:color w:val="000000"/>
                <w:kern w:val="0"/>
                <w:sz w:val="16"/>
                <w:szCs w:val="16"/>
              </w:rPr>
            </w:pPr>
            <w:r w:rsidRPr="00CD00FB">
              <w:rPr>
                <w:rFonts w:ascii="宋体" w:hAnsi="宋体" w:cs="宋体" w:hint="eastAsia"/>
                <w:color w:val="000000"/>
                <w:kern w:val="0"/>
                <w:sz w:val="16"/>
                <w:szCs w:val="16"/>
              </w:rPr>
              <w:t>决算数</w:t>
            </w:r>
          </w:p>
        </w:tc>
      </w:tr>
      <w:tr w:rsidR="008215A0" w:rsidRPr="00CD00FB" w14:paraId="5B02DF03" w14:textId="77777777" w:rsidTr="00B27A98">
        <w:trPr>
          <w:trHeight w:val="300"/>
          <w:jc w:val="center"/>
        </w:trPr>
        <w:tc>
          <w:tcPr>
            <w:tcW w:w="257" w:type="pct"/>
            <w:vMerge/>
            <w:tcBorders>
              <w:top w:val="single" w:sz="4" w:space="0" w:color="auto"/>
              <w:left w:val="single" w:sz="4" w:space="0" w:color="auto"/>
              <w:bottom w:val="single" w:sz="4" w:space="0" w:color="auto"/>
              <w:right w:val="single" w:sz="4" w:space="0" w:color="auto"/>
            </w:tcBorders>
            <w:vAlign w:val="center"/>
            <w:hideMark/>
          </w:tcPr>
          <w:p w14:paraId="7020286D" w14:textId="77777777" w:rsidR="008215A0" w:rsidRPr="00CD00FB" w:rsidRDefault="008215A0" w:rsidP="00B27A98">
            <w:pPr>
              <w:widowControl/>
              <w:jc w:val="left"/>
              <w:rPr>
                <w:rFonts w:ascii="宋体" w:hAnsi="宋体" w:cs="宋体"/>
                <w:color w:val="000000"/>
                <w:kern w:val="0"/>
                <w:sz w:val="16"/>
                <w:szCs w:val="16"/>
              </w:rPr>
            </w:pPr>
          </w:p>
        </w:tc>
        <w:tc>
          <w:tcPr>
            <w:tcW w:w="1089" w:type="pct"/>
            <w:vMerge/>
            <w:tcBorders>
              <w:top w:val="single" w:sz="4" w:space="0" w:color="auto"/>
              <w:left w:val="single" w:sz="4" w:space="0" w:color="auto"/>
              <w:bottom w:val="single" w:sz="4" w:space="0" w:color="auto"/>
              <w:right w:val="single" w:sz="4" w:space="0" w:color="auto"/>
            </w:tcBorders>
            <w:vAlign w:val="center"/>
            <w:hideMark/>
          </w:tcPr>
          <w:p w14:paraId="1CBBDC74" w14:textId="77777777" w:rsidR="008215A0" w:rsidRPr="00CD00FB" w:rsidRDefault="008215A0" w:rsidP="00B27A98">
            <w:pPr>
              <w:widowControl/>
              <w:jc w:val="left"/>
              <w:rPr>
                <w:rFonts w:ascii="宋体" w:hAnsi="宋体" w:cs="宋体"/>
                <w:color w:val="000000"/>
                <w:kern w:val="0"/>
                <w:sz w:val="16"/>
                <w:szCs w:val="16"/>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14:paraId="6E05158B" w14:textId="77777777" w:rsidR="008215A0" w:rsidRPr="00CD00FB" w:rsidRDefault="008215A0" w:rsidP="00B27A98">
            <w:pPr>
              <w:widowControl/>
              <w:jc w:val="left"/>
              <w:rPr>
                <w:rFonts w:ascii="宋体" w:hAnsi="宋体" w:cs="宋体"/>
                <w:color w:val="000000"/>
                <w:kern w:val="0"/>
                <w:sz w:val="16"/>
                <w:szCs w:val="16"/>
              </w:rPr>
            </w:pPr>
          </w:p>
        </w:tc>
        <w:tc>
          <w:tcPr>
            <w:tcW w:w="257" w:type="pct"/>
            <w:vMerge/>
            <w:tcBorders>
              <w:top w:val="single" w:sz="4" w:space="0" w:color="auto"/>
              <w:left w:val="single" w:sz="4" w:space="0" w:color="auto"/>
              <w:bottom w:val="single" w:sz="4" w:space="0" w:color="auto"/>
              <w:right w:val="single" w:sz="4" w:space="0" w:color="auto"/>
            </w:tcBorders>
            <w:vAlign w:val="center"/>
            <w:hideMark/>
          </w:tcPr>
          <w:p w14:paraId="541879AB" w14:textId="77777777" w:rsidR="008215A0" w:rsidRPr="00CD00FB" w:rsidRDefault="008215A0" w:rsidP="00B27A98">
            <w:pPr>
              <w:widowControl/>
              <w:jc w:val="left"/>
              <w:rPr>
                <w:rFonts w:ascii="宋体" w:hAnsi="宋体" w:cs="宋体"/>
                <w:color w:val="000000"/>
                <w:kern w:val="0"/>
                <w:sz w:val="16"/>
                <w:szCs w:val="16"/>
              </w:rPr>
            </w:pPr>
          </w:p>
        </w:tc>
        <w:tc>
          <w:tcPr>
            <w:tcW w:w="756" w:type="pct"/>
            <w:vMerge/>
            <w:tcBorders>
              <w:top w:val="single" w:sz="4" w:space="0" w:color="auto"/>
              <w:left w:val="single" w:sz="4" w:space="0" w:color="auto"/>
              <w:bottom w:val="single" w:sz="4" w:space="0" w:color="auto"/>
              <w:right w:val="single" w:sz="4" w:space="0" w:color="auto"/>
            </w:tcBorders>
            <w:vAlign w:val="center"/>
            <w:hideMark/>
          </w:tcPr>
          <w:p w14:paraId="4A007ED8" w14:textId="77777777" w:rsidR="008215A0" w:rsidRPr="00CD00FB" w:rsidRDefault="008215A0" w:rsidP="00B27A98">
            <w:pPr>
              <w:widowControl/>
              <w:jc w:val="left"/>
              <w:rPr>
                <w:rFonts w:ascii="宋体" w:hAnsi="宋体" w:cs="宋体"/>
                <w:color w:val="000000"/>
                <w:kern w:val="0"/>
                <w:sz w:val="16"/>
                <w:szCs w:val="16"/>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14:paraId="100F09A0" w14:textId="77777777" w:rsidR="008215A0" w:rsidRPr="00CD00FB" w:rsidRDefault="008215A0" w:rsidP="00B27A98">
            <w:pPr>
              <w:widowControl/>
              <w:jc w:val="left"/>
              <w:rPr>
                <w:rFonts w:ascii="宋体" w:hAnsi="宋体" w:cs="宋体"/>
                <w:color w:val="000000"/>
                <w:kern w:val="0"/>
                <w:sz w:val="16"/>
                <w:szCs w:val="16"/>
              </w:rPr>
            </w:pPr>
          </w:p>
        </w:tc>
        <w:tc>
          <w:tcPr>
            <w:tcW w:w="257" w:type="pct"/>
            <w:vMerge/>
            <w:tcBorders>
              <w:top w:val="single" w:sz="4" w:space="0" w:color="auto"/>
              <w:left w:val="single" w:sz="4" w:space="0" w:color="auto"/>
              <w:bottom w:val="single" w:sz="4" w:space="0" w:color="auto"/>
              <w:right w:val="single" w:sz="4" w:space="0" w:color="auto"/>
            </w:tcBorders>
            <w:vAlign w:val="center"/>
            <w:hideMark/>
          </w:tcPr>
          <w:p w14:paraId="2BF0FAD8" w14:textId="77777777" w:rsidR="008215A0" w:rsidRPr="00CD00FB" w:rsidRDefault="008215A0" w:rsidP="00B27A98">
            <w:pPr>
              <w:widowControl/>
              <w:jc w:val="left"/>
              <w:rPr>
                <w:rFonts w:ascii="宋体" w:hAnsi="宋体" w:cs="宋体"/>
                <w:color w:val="000000"/>
                <w:kern w:val="0"/>
                <w:sz w:val="16"/>
                <w:szCs w:val="16"/>
              </w:rPr>
            </w:pPr>
          </w:p>
        </w:tc>
        <w:tc>
          <w:tcPr>
            <w:tcW w:w="1356" w:type="pct"/>
            <w:vMerge/>
            <w:tcBorders>
              <w:top w:val="single" w:sz="4" w:space="0" w:color="auto"/>
              <w:left w:val="single" w:sz="4" w:space="0" w:color="auto"/>
              <w:bottom w:val="single" w:sz="4" w:space="0" w:color="auto"/>
              <w:right w:val="single" w:sz="4" w:space="0" w:color="auto"/>
            </w:tcBorders>
            <w:vAlign w:val="center"/>
            <w:hideMark/>
          </w:tcPr>
          <w:p w14:paraId="56D40164" w14:textId="77777777" w:rsidR="008215A0" w:rsidRPr="00CD00FB" w:rsidRDefault="008215A0" w:rsidP="00B27A98">
            <w:pPr>
              <w:widowControl/>
              <w:jc w:val="left"/>
              <w:rPr>
                <w:rFonts w:ascii="宋体" w:hAnsi="宋体" w:cs="宋体"/>
                <w:color w:val="000000"/>
                <w:kern w:val="0"/>
                <w:sz w:val="16"/>
                <w:szCs w:val="16"/>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14:paraId="1E4639C3" w14:textId="77777777" w:rsidR="008215A0" w:rsidRPr="00CD00FB" w:rsidRDefault="008215A0" w:rsidP="00B27A98">
            <w:pPr>
              <w:widowControl/>
              <w:jc w:val="left"/>
              <w:rPr>
                <w:rFonts w:ascii="宋体" w:hAnsi="宋体" w:cs="宋体"/>
                <w:color w:val="000000"/>
                <w:kern w:val="0"/>
                <w:sz w:val="16"/>
                <w:szCs w:val="16"/>
              </w:rPr>
            </w:pPr>
          </w:p>
        </w:tc>
        <w:tc>
          <w:tcPr>
            <w:tcW w:w="92" w:type="pct"/>
            <w:tcBorders>
              <w:top w:val="nil"/>
              <w:left w:val="single" w:sz="4" w:space="0" w:color="auto"/>
              <w:bottom w:val="nil"/>
              <w:right w:val="nil"/>
            </w:tcBorders>
            <w:shd w:val="clear" w:color="auto" w:fill="auto"/>
            <w:noWrap/>
            <w:vAlign w:val="center"/>
            <w:hideMark/>
          </w:tcPr>
          <w:p w14:paraId="0722BEEB" w14:textId="77777777" w:rsidR="008215A0" w:rsidRPr="00CD00FB" w:rsidRDefault="008215A0" w:rsidP="00B27A98">
            <w:pPr>
              <w:widowControl/>
              <w:jc w:val="center"/>
              <w:rPr>
                <w:rFonts w:ascii="宋体" w:hAnsi="宋体" w:cs="宋体"/>
                <w:color w:val="000000"/>
                <w:kern w:val="0"/>
                <w:sz w:val="16"/>
                <w:szCs w:val="16"/>
              </w:rPr>
            </w:pPr>
          </w:p>
        </w:tc>
      </w:tr>
      <w:tr w:rsidR="008215A0" w:rsidRPr="00CD00FB" w14:paraId="469F2B35"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8326549"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301</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60646A46"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工资福利支出</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DE795"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1,498.96</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2BA0509"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560162B"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商品和服务支出</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F38AE"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108.70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E6E2283"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310</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022EB105"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资本性支出</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9AD7C"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29914F62"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2FB56AB7"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63496A77"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30101</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2864BBF"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基本工资</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4A32C"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454.46</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3C49F15"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30201</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6917C922"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办公费</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C1BC1"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1.42</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2A11A55D"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31001</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0201A9FF"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房屋建筑物购建</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33A83"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6C4860C6"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294054B2"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DCBBFC7"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30102</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6C891234"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津贴补贴</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C37B8"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432.07</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B427E29"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30202</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20EECF73"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印刷费</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93F7B"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0.03</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0624F6DA"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31002</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31EC044"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办公设备购置</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2DDF2"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17C986AD"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13F86CB4"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23FDECD5"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30103</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F737BBF"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奖金</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F3C74"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118.60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C9F27D4"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30203</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20C7A2E5"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咨询费</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0EB7B"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516A1AD"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31003</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00455B71"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专用设备购置</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1BF9C"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2CB0C168"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63E7322C"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C6EF887"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30106</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0841234B"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伙食补助费</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3BC54"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28CB251"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30204</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AA1920F"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手续费</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D31FA"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0F230636"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31005</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DB1F68B"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基础设施建设</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C23CA"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6705C86F"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5C5CB1C0"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77CB8BF"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30107</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6C84D68"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绩效工资</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E5657"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85.45</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1530CFE"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30205</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A262764"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水费</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20D3B"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0.63</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03826B7A"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31006</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D61CF08"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大型修缮</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04A15"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5F370236"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554C8EB5"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6B1BEE4F"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30108</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29924B8E"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机关事业单位基本养老保险缴费</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94DFD"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152.56</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EE1E716"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30206</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B6AFA5A"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电费</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333DA"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0.92</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25B8EDEA"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31007</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28BFAEE"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信息网络及软件购置更新</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265CE6"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4DC68E43"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7E758BBA"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50BA4F2"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30109</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AC3C708"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职业年金缴费</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76622"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76.28</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DD5F33A"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30207</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23E0DFD9"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邮电费</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85144"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0.76</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552517B"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31008</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020CA2DF"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物资储备</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0E78E"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1E500250"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264A011F"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E7E6883"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30110</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27C52DD"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职工基本医疗保险缴费</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3CA12"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53.74</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08EBC998"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30208</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8A17068"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取暖费</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23BB8"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0799D7F1"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31009</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3FDE0B7"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土地补偿</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28DBF"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502493E1"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02EC7CC4"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0019C8B3"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30111</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835249C"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公务员医疗补助缴费</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A6D9C"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5DBC161"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30209</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6A96798E"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物业管理费</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23C31"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B8BE418"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31010</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60BA1A59"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安置补助</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1B9EC"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17967AAA"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4FB6C37C"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57B16BD"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30112</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E241899"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其他社会保障缴费</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05815"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1.68</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8D007CD"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30211</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FC82C12"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差旅费</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F9E42"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0.40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2771D26"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31011</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EA6061B"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地上附着物和青苗补偿</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528B4"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723754A2"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25416215"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17656F9"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30113</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23F349A7"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住房公积金</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D522D"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124.12</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62265F43"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30212</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5218226"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因公出国（境）费用</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AF2D4"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6A926EC7"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31012</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0EB0B83D"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拆迁补偿</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8BDE0"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7AB8F950"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48DF8C94"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85C8862"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30114</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0E8FFC0"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医疗费</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85506"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5D28CCA"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30213</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96FF168"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维修（护）费</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CFC52"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0.83</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9B8B1F3"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31013</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D8FA127"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公务用车购置</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621E6"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43EF2808"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2300B060"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320E328"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30199</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FB743C1"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其他工资福利支出</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F353B"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2099E46A"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30214</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ADC7107"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租赁费</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8EE11"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401B174"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31019</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6001A095"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其他交通工具购置</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7A4E1E"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2413B482"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0889D2F5"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6C7B21D9"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303</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ACE6CE7"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对个人和家庭的补助</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4C97C"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16.47</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02285A5"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30215</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076DDE7D"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会议费</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D2932"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0.93</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7221717"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31021</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1DCA27A"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文物和陈列品购置</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1E2FB"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787DAE04"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13FCCE86"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2A6EAC17"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30301</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2CCB2D6"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离休费</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5BCB2"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15.21</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B54C35E"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30216</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DD7CAA9"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培训费</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6833F"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565D729"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31022</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EFC207B"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无形资产购置</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6C754"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6CC9C7A4"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17DDA12F"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648BAC8A"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30302</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D671D5F"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退休费</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EAD49"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4AAB951"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30217</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4940C33"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公务接待费</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4EE12"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4.20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84E17F5"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31099</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6F9EFBC"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其他资本性支出</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F086A"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57A2B3EE"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0806747F"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2C7D34E2"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30303</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A628D67"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退职（役）费</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79751"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6D4AB50"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30218</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7BCC7F8"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专用材料费</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05FDE"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0.22</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67A9B58"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312</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68A654AF"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对企业补助</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BB5FC"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6C515A6A"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2E4E8A05"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AAFD379"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30304</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650B0A8"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抚恤金</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605DC"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66B80D2"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30224</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539BF18"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被装购置费</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4EE83"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21ED58E"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31201</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23F38ABE"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资本金注入</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E7310"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18311710"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26A11E0E"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611A70E"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30305</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E427145"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生活补助</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02BDA"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1.26</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F9EFE1F"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30225</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187C062"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专用燃料费</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C3044"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6304712D"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31203</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C76A856"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政府投资基金股权投资</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4AEAE"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2D4E0EF8"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2DD99858"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0E0AD063"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30306</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FE91C83"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救济费</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7B06C"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0537E91E"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30226</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CF6DB1F"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劳务费</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10915"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10.15</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B0635C9"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31204</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84A1A9D"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费用补贴</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BD486"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4B44EA34"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71D1E09D"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0FB63E70"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30307</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D8619B0"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医疗费补助</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46E51"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65592384"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30227</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27B4762A"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委托业务费</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602B9"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A434867"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31205</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23D5F0D"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利息补贴</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44213"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5217B043"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028BE313"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BA2E4EB"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30308</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334C4D7"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助学金</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05229"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20CB182"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30228</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2C028E10"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工会经费</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0BA60"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19.36</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1CAE86B"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31299</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04307F2"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其他对企业补助</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9495CD"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5D438681"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421D1F68"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B930C12"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30309</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6342E2E9"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奖励金</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7E35B"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01A9E451"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30229</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6DA8AB20"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福利费</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9D133"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59B9088"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399</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C0486BF"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其他支出</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24951"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56B3930C"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0A9C44D2"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24AAFC5"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30310</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6461459"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个人农业生产补贴</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776DF"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CE80901"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30231</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0CAE237D"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公务用车运行维护费</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427C3"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3.10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1C623E7"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39907</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695C3A5E"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国家赔偿费用支出</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8261B"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0F1A9A40"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6633EDDE"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2808EF47"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30311</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9D0391A"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代缴社会保险费</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B9122"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66B9466"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30239</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828FF18"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其他交通费用</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F2717"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44.78</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11B826F"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39908</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767B770"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对民间非营利组织和群众性自治组织补贴</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518BB"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15C29DFF"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09544AEB"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1393A42"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30399</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B7CE34C"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其他对个人和家庭的补助</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28B50C"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1B6706A"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30240</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F03714A"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税金及附加费用</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E1B78"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810A089"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39909</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0EB8EB9"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经常性赠与</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F18DC"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3EF99EF7"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0D954DF1"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01CABD0B"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9C2EDCA"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95154"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A21C00F"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30299</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BD1D04D"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其他商品和服务支出</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30CD13"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20.96</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A382718"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39910</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740B1B6"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资本性赠与</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E85D5"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449119BD"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2E534ADE"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3DBC7B4"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189243A"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F84C2"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00D4EF75"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307</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03F2FAFA"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债务利息及费用支出</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30764"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28F39A3"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39999</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BA30681"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其他支出</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D74D4"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28B7CD7F"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18988B03"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C6BF64C"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64D49EAB"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7F6E3"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7274A77"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30701</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9609590"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国内债务付息</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6A974"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CAF8F98"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624ACDC"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84A50"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5117C976"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6DE1FE16"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2F19AF15"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075E8CED"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5120D6"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065892F"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30702</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424CA8F0"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国外债务付息</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9E95D"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B7A5706"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5F694A88"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D3CF0"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44F7B4DB"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5F1ACAF0"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1DD8B9B"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7B41654A"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7B9A0"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6CF8FEC5"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30703</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2752CEFE"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国内债务发行费用</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BB0D4" w14:textId="77777777" w:rsidR="008215A0" w:rsidRPr="00CD00FB" w:rsidRDefault="008215A0" w:rsidP="00B27A98">
            <w:pPr>
              <w:widowControl/>
              <w:jc w:val="left"/>
              <w:rPr>
                <w:rFonts w:ascii="宋体" w:hAnsi="宋体" w:cs="宋体"/>
                <w:color w:val="000000"/>
                <w:kern w:val="0"/>
                <w:sz w:val="16"/>
                <w:szCs w:val="16"/>
              </w:rPr>
            </w:pP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D1B8497"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63BA6AF2"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5BACE"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4DFC3219"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5D05B259" w14:textId="77777777" w:rsidTr="00B27A98">
        <w:trPr>
          <w:trHeight w:val="300"/>
          <w:jc w:val="center"/>
        </w:trPr>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21E84709"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w:t>
            </w:r>
          </w:p>
        </w:tc>
        <w:tc>
          <w:tcPr>
            <w:tcW w:w="1089"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66F9E2AF"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A392E"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AF058E0"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30704</w:t>
            </w:r>
          </w:p>
        </w:tc>
        <w:tc>
          <w:tcPr>
            <w:tcW w:w="7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18E67F0"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国外债务发行费用</w:t>
            </w:r>
          </w:p>
        </w:tc>
        <w:tc>
          <w:tcPr>
            <w:tcW w:w="29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361E81"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w:t>
            </w:r>
          </w:p>
        </w:tc>
        <w:tc>
          <w:tcPr>
            <w:tcW w:w="257"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1A3D1D2C"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w:t>
            </w:r>
          </w:p>
        </w:tc>
        <w:tc>
          <w:tcPr>
            <w:tcW w:w="1356" w:type="pct"/>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594E073"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 xml:space="preserve">　</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36FD9"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0.00</w:t>
            </w:r>
          </w:p>
        </w:tc>
        <w:tc>
          <w:tcPr>
            <w:tcW w:w="92" w:type="pct"/>
            <w:tcBorders>
              <w:left w:val="single" w:sz="4" w:space="0" w:color="auto"/>
            </w:tcBorders>
            <w:vAlign w:val="center"/>
            <w:hideMark/>
          </w:tcPr>
          <w:p w14:paraId="0696AA08"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5EE1EE5B" w14:textId="77777777" w:rsidTr="00B27A98">
        <w:trPr>
          <w:trHeight w:val="300"/>
          <w:jc w:val="center"/>
        </w:trPr>
        <w:tc>
          <w:tcPr>
            <w:tcW w:w="1346" w:type="pct"/>
            <w:gridSpan w:val="2"/>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3E97D813" w14:textId="77777777" w:rsidR="008215A0" w:rsidRPr="00CD00FB" w:rsidRDefault="008215A0" w:rsidP="00B27A98">
            <w:pPr>
              <w:widowControl/>
              <w:jc w:val="center"/>
              <w:rPr>
                <w:rFonts w:ascii="宋体" w:hAnsi="宋体" w:cs="宋体"/>
                <w:color w:val="000000"/>
                <w:kern w:val="0"/>
                <w:sz w:val="16"/>
                <w:szCs w:val="16"/>
              </w:rPr>
            </w:pPr>
            <w:r w:rsidRPr="00CD00FB">
              <w:rPr>
                <w:rFonts w:ascii="宋体" w:hAnsi="宋体" w:cs="宋体" w:hint="eastAsia"/>
                <w:color w:val="000000"/>
                <w:kern w:val="0"/>
                <w:sz w:val="16"/>
                <w:szCs w:val="16"/>
              </w:rPr>
              <w:t>人员经费合计</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91F47"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1,515.43</w:t>
            </w:r>
          </w:p>
        </w:tc>
        <w:tc>
          <w:tcPr>
            <w:tcW w:w="2915" w:type="pct"/>
            <w:gridSpan w:val="5"/>
            <w:tcBorders>
              <w:top w:val="single" w:sz="4" w:space="0" w:color="auto"/>
              <w:left w:val="single" w:sz="4" w:space="0" w:color="auto"/>
              <w:bottom w:val="single" w:sz="4" w:space="0" w:color="auto"/>
              <w:right w:val="single" w:sz="4" w:space="0" w:color="auto"/>
            </w:tcBorders>
            <w:shd w:val="clear" w:color="000000" w:fill="F1F1F1"/>
            <w:noWrap/>
            <w:vAlign w:val="center"/>
            <w:hideMark/>
          </w:tcPr>
          <w:p w14:paraId="2A41C07C" w14:textId="77777777" w:rsidR="008215A0" w:rsidRPr="00CD00FB" w:rsidRDefault="008215A0" w:rsidP="00B27A98">
            <w:pPr>
              <w:widowControl/>
              <w:jc w:val="center"/>
              <w:rPr>
                <w:rFonts w:ascii="宋体" w:hAnsi="宋体" w:cs="宋体"/>
                <w:color w:val="000000"/>
                <w:kern w:val="0"/>
                <w:sz w:val="16"/>
                <w:szCs w:val="16"/>
              </w:rPr>
            </w:pPr>
            <w:r w:rsidRPr="00CD00FB">
              <w:rPr>
                <w:rFonts w:ascii="宋体" w:hAnsi="宋体" w:cs="宋体" w:hint="eastAsia"/>
                <w:color w:val="000000"/>
                <w:kern w:val="0"/>
                <w:sz w:val="16"/>
                <w:szCs w:val="16"/>
              </w:rPr>
              <w:t>公用经费合计</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218C8" w14:textId="77777777" w:rsidR="008215A0" w:rsidRPr="00CD00FB" w:rsidRDefault="008215A0" w:rsidP="00B27A98">
            <w:pPr>
              <w:widowControl/>
              <w:jc w:val="right"/>
              <w:rPr>
                <w:rFonts w:ascii="宋体" w:hAnsi="宋体" w:cs="宋体"/>
                <w:color w:val="000000"/>
                <w:kern w:val="0"/>
                <w:sz w:val="16"/>
                <w:szCs w:val="16"/>
              </w:rPr>
            </w:pPr>
            <w:r w:rsidRPr="00CD00FB">
              <w:rPr>
                <w:rFonts w:ascii="宋体" w:hAnsi="宋体" w:cs="宋体" w:hint="eastAsia"/>
                <w:color w:val="000000"/>
                <w:kern w:val="0"/>
                <w:sz w:val="16"/>
                <w:szCs w:val="16"/>
              </w:rPr>
              <w:t>108.70</w:t>
            </w:r>
          </w:p>
        </w:tc>
        <w:tc>
          <w:tcPr>
            <w:tcW w:w="92" w:type="pct"/>
            <w:tcBorders>
              <w:left w:val="single" w:sz="4" w:space="0" w:color="auto"/>
            </w:tcBorders>
            <w:vAlign w:val="center"/>
            <w:hideMark/>
          </w:tcPr>
          <w:p w14:paraId="14FD924A" w14:textId="77777777" w:rsidR="008215A0" w:rsidRPr="00CD00FB" w:rsidRDefault="008215A0" w:rsidP="00B27A98">
            <w:pPr>
              <w:widowControl/>
              <w:jc w:val="left"/>
              <w:rPr>
                <w:rFonts w:ascii="宋体" w:hAnsi="宋体" w:cs="Times New Roman"/>
                <w:kern w:val="0"/>
                <w:sz w:val="16"/>
                <w:szCs w:val="16"/>
              </w:rPr>
            </w:pPr>
          </w:p>
        </w:tc>
      </w:tr>
      <w:tr w:rsidR="008215A0" w:rsidRPr="00CD00FB" w14:paraId="6EC2F7C1" w14:textId="77777777" w:rsidTr="00B27A98">
        <w:trPr>
          <w:trHeight w:val="300"/>
          <w:jc w:val="center"/>
        </w:trPr>
        <w:tc>
          <w:tcPr>
            <w:tcW w:w="4908" w:type="pct"/>
            <w:gridSpan w:val="9"/>
            <w:tcBorders>
              <w:top w:val="single" w:sz="4" w:space="0" w:color="auto"/>
              <w:left w:val="nil"/>
              <w:bottom w:val="nil"/>
              <w:right w:val="nil"/>
            </w:tcBorders>
            <w:shd w:val="clear" w:color="000000" w:fill="FFFFFF"/>
            <w:noWrap/>
            <w:vAlign w:val="center"/>
            <w:hideMark/>
          </w:tcPr>
          <w:p w14:paraId="1C821238" w14:textId="77777777" w:rsidR="008215A0" w:rsidRPr="00CD00FB" w:rsidRDefault="008215A0" w:rsidP="00B27A98">
            <w:pPr>
              <w:widowControl/>
              <w:jc w:val="left"/>
              <w:rPr>
                <w:rFonts w:ascii="宋体" w:hAnsi="宋体" w:cs="宋体"/>
                <w:color w:val="000000"/>
                <w:kern w:val="0"/>
                <w:sz w:val="16"/>
                <w:szCs w:val="16"/>
              </w:rPr>
            </w:pPr>
            <w:r w:rsidRPr="00CD00FB">
              <w:rPr>
                <w:rFonts w:ascii="宋体" w:hAnsi="宋体" w:cs="宋体" w:hint="eastAsia"/>
                <w:color w:val="000000"/>
                <w:kern w:val="0"/>
                <w:sz w:val="16"/>
                <w:szCs w:val="16"/>
              </w:rPr>
              <w:t>注：本表反映部门本年度一般公共预算财政拨款基本支出明细情况。</w:t>
            </w:r>
          </w:p>
        </w:tc>
        <w:tc>
          <w:tcPr>
            <w:tcW w:w="92" w:type="pct"/>
            <w:vAlign w:val="center"/>
            <w:hideMark/>
          </w:tcPr>
          <w:p w14:paraId="4501BD2B" w14:textId="77777777" w:rsidR="008215A0" w:rsidRPr="00CD00FB" w:rsidRDefault="008215A0" w:rsidP="00B27A98">
            <w:pPr>
              <w:widowControl/>
              <w:jc w:val="left"/>
              <w:rPr>
                <w:rFonts w:ascii="宋体" w:hAnsi="宋体" w:cs="Times New Roman"/>
                <w:kern w:val="0"/>
                <w:sz w:val="16"/>
                <w:szCs w:val="16"/>
              </w:rPr>
            </w:pPr>
          </w:p>
        </w:tc>
      </w:tr>
    </w:tbl>
    <w:p w14:paraId="48A79ED9" w14:textId="0A6F2B27" w:rsidR="00B67A35" w:rsidRDefault="00B67A35">
      <w:pPr>
        <w:widowControl/>
        <w:jc w:val="left"/>
        <w:rPr>
          <w:rFonts w:ascii="黑体" w:eastAsia="黑体" w:hAnsi="黑体"/>
          <w:sz w:val="32"/>
          <w:szCs w:val="32"/>
        </w:rPr>
      </w:pPr>
      <w:r>
        <w:rPr>
          <w:rFonts w:ascii="黑体" w:eastAsia="黑体" w:hAnsi="黑体"/>
          <w:sz w:val="32"/>
          <w:szCs w:val="32"/>
        </w:rPr>
        <w:br w:type="page"/>
      </w:r>
      <w:r>
        <w:rPr>
          <w:rFonts w:ascii="宋体" w:hAnsi="宋体" w:cs="宋体" w:hint="eastAsia"/>
          <w:szCs w:val="21"/>
        </w:rPr>
        <w:object w:dxaOrig="8325" w:dyaOrig="14070" w14:anchorId="421CF4EF">
          <v:shape id="对象 33" o:spid="_x0000_i1026" type="#_x0000_t75" style="width:416.25pt;height:703.5pt;mso-wrap-style:square;mso-position-horizontal-relative:page;mso-position-vertical-relative:page" o:ole="">
            <v:imagedata r:id="rId21" o:title=""/>
          </v:shape>
          <o:OLEObject Type="Embed" ProgID="Excel.Sheet.12" ShapeID="对象 33" DrawAspect="Content" ObjectID="_1823177570" r:id="rId22"/>
        </w:object>
      </w:r>
    </w:p>
    <w:p w14:paraId="4F2A9591" w14:textId="77777777" w:rsidR="008215A0" w:rsidRDefault="008215A0" w:rsidP="008215A0">
      <w:pPr>
        <w:widowControl/>
        <w:jc w:val="left"/>
        <w:rPr>
          <w:rFonts w:ascii="黑体" w:eastAsia="黑体" w:hAnsi="黑体"/>
          <w:sz w:val="32"/>
          <w:szCs w:val="32"/>
        </w:rPr>
      </w:pPr>
    </w:p>
    <w:p w14:paraId="6185CEDC" w14:textId="77777777" w:rsidR="008215A0" w:rsidRDefault="008215A0" w:rsidP="008215A0">
      <w:pPr>
        <w:jc w:val="center"/>
        <w:rPr>
          <w:noProof/>
        </w:rPr>
      </w:pPr>
      <w:r>
        <w:rPr>
          <w:rFonts w:ascii="黑体" w:eastAsia="黑体" w:hAnsi="黑体" w:hint="eastAsia"/>
          <w:sz w:val="32"/>
          <w:szCs w:val="32"/>
        </w:rPr>
        <w:t>国有资本经营预算财政拨款支出决算表</w:t>
      </w:r>
    </w:p>
    <w:tbl>
      <w:tblPr>
        <w:tblW w:w="9964" w:type="dxa"/>
        <w:tblInd w:w="-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3940"/>
        <w:gridCol w:w="1669"/>
        <w:gridCol w:w="1666"/>
        <w:gridCol w:w="1669"/>
      </w:tblGrid>
      <w:tr w:rsidR="008215A0" w:rsidRPr="00CD00FB" w14:paraId="29BF0E8A" w14:textId="77777777" w:rsidTr="00B27A98">
        <w:trPr>
          <w:trHeight w:val="300"/>
        </w:trPr>
        <w:tc>
          <w:tcPr>
            <w:tcW w:w="4960" w:type="dxa"/>
            <w:gridSpan w:val="2"/>
            <w:shd w:val="clear" w:color="000000" w:fill="F1F1F1"/>
            <w:noWrap/>
            <w:vAlign w:val="center"/>
            <w:hideMark/>
          </w:tcPr>
          <w:p w14:paraId="655DBA91" w14:textId="77777777" w:rsidR="008215A0" w:rsidRPr="00CD00FB" w:rsidRDefault="008215A0" w:rsidP="00B27A98">
            <w:pPr>
              <w:widowControl/>
              <w:jc w:val="center"/>
              <w:rPr>
                <w:rFonts w:ascii="宋体" w:hAnsi="宋体" w:cs="宋体"/>
                <w:color w:val="000000"/>
                <w:kern w:val="0"/>
                <w:sz w:val="22"/>
                <w:szCs w:val="22"/>
              </w:rPr>
            </w:pPr>
            <w:r w:rsidRPr="00CD00FB">
              <w:rPr>
                <w:rFonts w:ascii="宋体" w:hAnsi="宋体" w:cs="宋体" w:hint="eastAsia"/>
                <w:color w:val="000000"/>
                <w:kern w:val="0"/>
                <w:sz w:val="22"/>
                <w:szCs w:val="22"/>
              </w:rPr>
              <w:t>项目</w:t>
            </w:r>
          </w:p>
        </w:tc>
        <w:tc>
          <w:tcPr>
            <w:tcW w:w="5004" w:type="dxa"/>
            <w:gridSpan w:val="3"/>
            <w:shd w:val="clear" w:color="000000" w:fill="F1F1F1"/>
            <w:vAlign w:val="center"/>
            <w:hideMark/>
          </w:tcPr>
          <w:p w14:paraId="57CB350D" w14:textId="77777777" w:rsidR="008215A0" w:rsidRPr="00CD00FB" w:rsidRDefault="008215A0" w:rsidP="00B27A98">
            <w:pPr>
              <w:widowControl/>
              <w:jc w:val="center"/>
              <w:rPr>
                <w:rFonts w:ascii="宋体" w:hAnsi="宋体" w:cs="宋体"/>
                <w:color w:val="000000"/>
                <w:kern w:val="0"/>
                <w:sz w:val="22"/>
                <w:szCs w:val="22"/>
              </w:rPr>
            </w:pPr>
            <w:r w:rsidRPr="00CD00FB">
              <w:rPr>
                <w:rFonts w:ascii="宋体" w:hAnsi="宋体" w:cs="宋体" w:hint="eastAsia"/>
                <w:color w:val="000000"/>
                <w:kern w:val="0"/>
                <w:sz w:val="22"/>
                <w:szCs w:val="22"/>
              </w:rPr>
              <w:t>本年支出</w:t>
            </w:r>
          </w:p>
        </w:tc>
      </w:tr>
      <w:tr w:rsidR="008215A0" w:rsidRPr="00CD00FB" w14:paraId="065E3453" w14:textId="77777777" w:rsidTr="00B27A98">
        <w:trPr>
          <w:trHeight w:val="315"/>
        </w:trPr>
        <w:tc>
          <w:tcPr>
            <w:tcW w:w="1020" w:type="dxa"/>
            <w:vMerge w:val="restart"/>
            <w:shd w:val="clear" w:color="000000" w:fill="F1F1F1"/>
            <w:vAlign w:val="center"/>
            <w:hideMark/>
          </w:tcPr>
          <w:p w14:paraId="219D7D4E" w14:textId="77777777" w:rsidR="008215A0" w:rsidRPr="00CD00FB" w:rsidRDefault="008215A0" w:rsidP="00B27A98">
            <w:pPr>
              <w:widowControl/>
              <w:jc w:val="center"/>
              <w:rPr>
                <w:rFonts w:ascii="宋体" w:hAnsi="宋体" w:cs="宋体"/>
                <w:color w:val="000000"/>
                <w:kern w:val="0"/>
                <w:sz w:val="22"/>
                <w:szCs w:val="22"/>
              </w:rPr>
            </w:pPr>
            <w:r w:rsidRPr="00CD00FB">
              <w:rPr>
                <w:rFonts w:ascii="宋体" w:hAnsi="宋体" w:cs="宋体" w:hint="eastAsia"/>
                <w:color w:val="000000"/>
                <w:kern w:val="0"/>
                <w:sz w:val="22"/>
                <w:szCs w:val="22"/>
              </w:rPr>
              <w:t>科目代码</w:t>
            </w:r>
          </w:p>
        </w:tc>
        <w:tc>
          <w:tcPr>
            <w:tcW w:w="3940" w:type="dxa"/>
            <w:vMerge w:val="restart"/>
            <w:shd w:val="clear" w:color="000000" w:fill="F1F1F1"/>
            <w:noWrap/>
            <w:vAlign w:val="center"/>
            <w:hideMark/>
          </w:tcPr>
          <w:p w14:paraId="31DCE384" w14:textId="77777777" w:rsidR="008215A0" w:rsidRPr="00CD00FB" w:rsidRDefault="008215A0" w:rsidP="00B27A98">
            <w:pPr>
              <w:widowControl/>
              <w:jc w:val="center"/>
              <w:rPr>
                <w:rFonts w:ascii="宋体" w:hAnsi="宋体" w:cs="宋体"/>
                <w:color w:val="000000"/>
                <w:kern w:val="0"/>
                <w:sz w:val="22"/>
                <w:szCs w:val="22"/>
              </w:rPr>
            </w:pPr>
            <w:r w:rsidRPr="00CD00FB">
              <w:rPr>
                <w:rFonts w:ascii="宋体" w:hAnsi="宋体" w:cs="宋体" w:hint="eastAsia"/>
                <w:color w:val="000000"/>
                <w:kern w:val="0"/>
                <w:sz w:val="22"/>
                <w:szCs w:val="22"/>
              </w:rPr>
              <w:t>科目名称</w:t>
            </w:r>
          </w:p>
        </w:tc>
        <w:tc>
          <w:tcPr>
            <w:tcW w:w="1669" w:type="dxa"/>
            <w:vMerge w:val="restart"/>
            <w:shd w:val="clear" w:color="000000" w:fill="F1F1F1"/>
            <w:vAlign w:val="center"/>
            <w:hideMark/>
          </w:tcPr>
          <w:p w14:paraId="0211120D" w14:textId="77777777" w:rsidR="008215A0" w:rsidRPr="00CD00FB" w:rsidRDefault="008215A0" w:rsidP="00B27A98">
            <w:pPr>
              <w:widowControl/>
              <w:jc w:val="center"/>
              <w:rPr>
                <w:rFonts w:ascii="宋体" w:hAnsi="宋体" w:cs="宋体"/>
                <w:color w:val="000000"/>
                <w:kern w:val="0"/>
                <w:sz w:val="22"/>
                <w:szCs w:val="22"/>
              </w:rPr>
            </w:pPr>
            <w:r w:rsidRPr="00CD00FB">
              <w:rPr>
                <w:rFonts w:ascii="宋体" w:hAnsi="宋体" w:cs="宋体" w:hint="eastAsia"/>
                <w:color w:val="000000"/>
                <w:kern w:val="0"/>
                <w:sz w:val="22"/>
                <w:szCs w:val="22"/>
              </w:rPr>
              <w:t>合计</w:t>
            </w:r>
          </w:p>
        </w:tc>
        <w:tc>
          <w:tcPr>
            <w:tcW w:w="1666" w:type="dxa"/>
            <w:vMerge w:val="restart"/>
            <w:shd w:val="clear" w:color="000000" w:fill="F1F1F1"/>
            <w:vAlign w:val="center"/>
            <w:hideMark/>
          </w:tcPr>
          <w:p w14:paraId="63EE410E" w14:textId="77777777" w:rsidR="008215A0" w:rsidRPr="00CD00FB" w:rsidRDefault="008215A0" w:rsidP="00B27A98">
            <w:pPr>
              <w:widowControl/>
              <w:jc w:val="center"/>
              <w:rPr>
                <w:rFonts w:ascii="宋体" w:hAnsi="宋体" w:cs="宋体"/>
                <w:color w:val="000000"/>
                <w:kern w:val="0"/>
                <w:sz w:val="22"/>
                <w:szCs w:val="22"/>
              </w:rPr>
            </w:pPr>
            <w:r w:rsidRPr="00CD00FB">
              <w:rPr>
                <w:rFonts w:ascii="宋体" w:hAnsi="宋体" w:cs="宋体" w:hint="eastAsia"/>
                <w:color w:val="000000"/>
                <w:kern w:val="0"/>
                <w:sz w:val="22"/>
                <w:szCs w:val="22"/>
              </w:rPr>
              <w:t>基本支出</w:t>
            </w:r>
          </w:p>
        </w:tc>
        <w:tc>
          <w:tcPr>
            <w:tcW w:w="1669" w:type="dxa"/>
            <w:vMerge w:val="restart"/>
            <w:shd w:val="clear" w:color="000000" w:fill="F1F1F1"/>
            <w:vAlign w:val="center"/>
            <w:hideMark/>
          </w:tcPr>
          <w:p w14:paraId="4642A91A" w14:textId="77777777" w:rsidR="008215A0" w:rsidRPr="00CD00FB" w:rsidRDefault="008215A0" w:rsidP="00B27A98">
            <w:pPr>
              <w:widowControl/>
              <w:jc w:val="center"/>
              <w:rPr>
                <w:rFonts w:ascii="宋体" w:hAnsi="宋体" w:cs="宋体"/>
                <w:color w:val="000000"/>
                <w:kern w:val="0"/>
                <w:sz w:val="22"/>
                <w:szCs w:val="22"/>
              </w:rPr>
            </w:pPr>
            <w:r w:rsidRPr="00CD00FB">
              <w:rPr>
                <w:rFonts w:ascii="宋体" w:hAnsi="宋体" w:cs="宋体" w:hint="eastAsia"/>
                <w:color w:val="000000"/>
                <w:kern w:val="0"/>
                <w:sz w:val="22"/>
                <w:szCs w:val="22"/>
              </w:rPr>
              <w:t>项目支出</w:t>
            </w:r>
          </w:p>
        </w:tc>
      </w:tr>
      <w:tr w:rsidR="008215A0" w:rsidRPr="00CD00FB" w14:paraId="31C5846E" w14:textId="77777777" w:rsidTr="00B27A98">
        <w:trPr>
          <w:trHeight w:val="315"/>
        </w:trPr>
        <w:tc>
          <w:tcPr>
            <w:tcW w:w="1020" w:type="dxa"/>
            <w:vMerge/>
            <w:vAlign w:val="center"/>
            <w:hideMark/>
          </w:tcPr>
          <w:p w14:paraId="6709FA83" w14:textId="77777777" w:rsidR="008215A0" w:rsidRPr="00CD00FB" w:rsidRDefault="008215A0" w:rsidP="00B27A98">
            <w:pPr>
              <w:widowControl/>
              <w:jc w:val="left"/>
              <w:rPr>
                <w:rFonts w:ascii="宋体" w:hAnsi="宋体" w:cs="宋体"/>
                <w:color w:val="000000"/>
                <w:kern w:val="0"/>
                <w:sz w:val="22"/>
                <w:szCs w:val="22"/>
              </w:rPr>
            </w:pPr>
          </w:p>
        </w:tc>
        <w:tc>
          <w:tcPr>
            <w:tcW w:w="3940" w:type="dxa"/>
            <w:vMerge/>
            <w:vAlign w:val="center"/>
            <w:hideMark/>
          </w:tcPr>
          <w:p w14:paraId="04DC73CC" w14:textId="77777777" w:rsidR="008215A0" w:rsidRPr="00CD00FB" w:rsidRDefault="008215A0" w:rsidP="00B27A98">
            <w:pPr>
              <w:widowControl/>
              <w:jc w:val="left"/>
              <w:rPr>
                <w:rFonts w:ascii="宋体" w:hAnsi="宋体" w:cs="宋体"/>
                <w:color w:val="000000"/>
                <w:kern w:val="0"/>
                <w:sz w:val="22"/>
                <w:szCs w:val="22"/>
              </w:rPr>
            </w:pPr>
          </w:p>
        </w:tc>
        <w:tc>
          <w:tcPr>
            <w:tcW w:w="1669" w:type="dxa"/>
            <w:vMerge/>
            <w:vAlign w:val="center"/>
            <w:hideMark/>
          </w:tcPr>
          <w:p w14:paraId="1853046C" w14:textId="77777777" w:rsidR="008215A0" w:rsidRPr="00CD00FB" w:rsidRDefault="008215A0" w:rsidP="00B27A98">
            <w:pPr>
              <w:widowControl/>
              <w:jc w:val="left"/>
              <w:rPr>
                <w:rFonts w:ascii="宋体" w:hAnsi="宋体" w:cs="宋体"/>
                <w:color w:val="000000"/>
                <w:kern w:val="0"/>
                <w:sz w:val="22"/>
                <w:szCs w:val="22"/>
              </w:rPr>
            </w:pPr>
          </w:p>
        </w:tc>
        <w:tc>
          <w:tcPr>
            <w:tcW w:w="1666" w:type="dxa"/>
            <w:vMerge/>
            <w:vAlign w:val="center"/>
            <w:hideMark/>
          </w:tcPr>
          <w:p w14:paraId="43DD5643" w14:textId="77777777" w:rsidR="008215A0" w:rsidRPr="00CD00FB" w:rsidRDefault="008215A0" w:rsidP="00B27A98">
            <w:pPr>
              <w:widowControl/>
              <w:jc w:val="left"/>
              <w:rPr>
                <w:rFonts w:ascii="宋体" w:hAnsi="宋体" w:cs="宋体"/>
                <w:color w:val="000000"/>
                <w:kern w:val="0"/>
                <w:sz w:val="22"/>
                <w:szCs w:val="22"/>
              </w:rPr>
            </w:pPr>
          </w:p>
        </w:tc>
        <w:tc>
          <w:tcPr>
            <w:tcW w:w="1669" w:type="dxa"/>
            <w:vMerge/>
            <w:vAlign w:val="center"/>
            <w:hideMark/>
          </w:tcPr>
          <w:p w14:paraId="1D431691" w14:textId="77777777" w:rsidR="008215A0" w:rsidRPr="00CD00FB" w:rsidRDefault="008215A0" w:rsidP="00B27A98">
            <w:pPr>
              <w:widowControl/>
              <w:jc w:val="left"/>
              <w:rPr>
                <w:rFonts w:ascii="宋体" w:hAnsi="宋体" w:cs="宋体"/>
                <w:color w:val="000000"/>
                <w:kern w:val="0"/>
                <w:sz w:val="22"/>
                <w:szCs w:val="22"/>
              </w:rPr>
            </w:pPr>
          </w:p>
        </w:tc>
      </w:tr>
      <w:tr w:rsidR="008215A0" w:rsidRPr="00CD00FB" w14:paraId="19B8F848" w14:textId="77777777" w:rsidTr="00B27A98">
        <w:trPr>
          <w:trHeight w:val="315"/>
        </w:trPr>
        <w:tc>
          <w:tcPr>
            <w:tcW w:w="1020" w:type="dxa"/>
            <w:vMerge/>
            <w:vAlign w:val="center"/>
            <w:hideMark/>
          </w:tcPr>
          <w:p w14:paraId="01763BF1" w14:textId="77777777" w:rsidR="008215A0" w:rsidRPr="00CD00FB" w:rsidRDefault="008215A0" w:rsidP="00B27A98">
            <w:pPr>
              <w:widowControl/>
              <w:jc w:val="left"/>
              <w:rPr>
                <w:rFonts w:ascii="宋体" w:hAnsi="宋体" w:cs="宋体"/>
                <w:color w:val="000000"/>
                <w:kern w:val="0"/>
                <w:sz w:val="22"/>
                <w:szCs w:val="22"/>
              </w:rPr>
            </w:pPr>
          </w:p>
        </w:tc>
        <w:tc>
          <w:tcPr>
            <w:tcW w:w="3940" w:type="dxa"/>
            <w:vMerge/>
            <w:vAlign w:val="center"/>
            <w:hideMark/>
          </w:tcPr>
          <w:p w14:paraId="2FE64712" w14:textId="77777777" w:rsidR="008215A0" w:rsidRPr="00CD00FB" w:rsidRDefault="008215A0" w:rsidP="00B27A98">
            <w:pPr>
              <w:widowControl/>
              <w:jc w:val="left"/>
              <w:rPr>
                <w:rFonts w:ascii="宋体" w:hAnsi="宋体" w:cs="宋体"/>
                <w:color w:val="000000"/>
                <w:kern w:val="0"/>
                <w:sz w:val="22"/>
                <w:szCs w:val="22"/>
              </w:rPr>
            </w:pPr>
          </w:p>
        </w:tc>
        <w:tc>
          <w:tcPr>
            <w:tcW w:w="1669" w:type="dxa"/>
            <w:vMerge/>
            <w:vAlign w:val="center"/>
            <w:hideMark/>
          </w:tcPr>
          <w:p w14:paraId="30415210" w14:textId="77777777" w:rsidR="008215A0" w:rsidRPr="00CD00FB" w:rsidRDefault="008215A0" w:rsidP="00B27A98">
            <w:pPr>
              <w:widowControl/>
              <w:jc w:val="left"/>
              <w:rPr>
                <w:rFonts w:ascii="宋体" w:hAnsi="宋体" w:cs="宋体"/>
                <w:color w:val="000000"/>
                <w:kern w:val="0"/>
                <w:sz w:val="22"/>
                <w:szCs w:val="22"/>
              </w:rPr>
            </w:pPr>
          </w:p>
        </w:tc>
        <w:tc>
          <w:tcPr>
            <w:tcW w:w="1666" w:type="dxa"/>
            <w:vMerge/>
            <w:vAlign w:val="center"/>
            <w:hideMark/>
          </w:tcPr>
          <w:p w14:paraId="54F5EA98" w14:textId="77777777" w:rsidR="008215A0" w:rsidRPr="00CD00FB" w:rsidRDefault="008215A0" w:rsidP="00B27A98">
            <w:pPr>
              <w:widowControl/>
              <w:jc w:val="left"/>
              <w:rPr>
                <w:rFonts w:ascii="宋体" w:hAnsi="宋体" w:cs="宋体"/>
                <w:color w:val="000000"/>
                <w:kern w:val="0"/>
                <w:sz w:val="22"/>
                <w:szCs w:val="22"/>
              </w:rPr>
            </w:pPr>
          </w:p>
        </w:tc>
        <w:tc>
          <w:tcPr>
            <w:tcW w:w="1669" w:type="dxa"/>
            <w:vMerge/>
            <w:vAlign w:val="center"/>
            <w:hideMark/>
          </w:tcPr>
          <w:p w14:paraId="7935A2F1" w14:textId="77777777" w:rsidR="008215A0" w:rsidRPr="00CD00FB" w:rsidRDefault="008215A0" w:rsidP="00B27A98">
            <w:pPr>
              <w:widowControl/>
              <w:jc w:val="left"/>
              <w:rPr>
                <w:rFonts w:ascii="宋体" w:hAnsi="宋体" w:cs="宋体"/>
                <w:color w:val="000000"/>
                <w:kern w:val="0"/>
                <w:sz w:val="22"/>
                <w:szCs w:val="22"/>
              </w:rPr>
            </w:pPr>
          </w:p>
        </w:tc>
      </w:tr>
      <w:tr w:rsidR="008215A0" w:rsidRPr="00CD00FB" w14:paraId="71C691C3" w14:textId="77777777" w:rsidTr="00B27A98">
        <w:trPr>
          <w:trHeight w:val="300"/>
        </w:trPr>
        <w:tc>
          <w:tcPr>
            <w:tcW w:w="4960" w:type="dxa"/>
            <w:gridSpan w:val="2"/>
            <w:shd w:val="clear" w:color="000000" w:fill="F1F1F1"/>
            <w:noWrap/>
            <w:vAlign w:val="center"/>
            <w:hideMark/>
          </w:tcPr>
          <w:p w14:paraId="68199807" w14:textId="77777777" w:rsidR="008215A0" w:rsidRPr="00CD00FB" w:rsidRDefault="008215A0" w:rsidP="00B27A98">
            <w:pPr>
              <w:widowControl/>
              <w:jc w:val="center"/>
              <w:rPr>
                <w:rFonts w:ascii="宋体" w:hAnsi="宋体" w:cs="宋体"/>
                <w:color w:val="000000"/>
                <w:kern w:val="0"/>
                <w:sz w:val="22"/>
                <w:szCs w:val="22"/>
              </w:rPr>
            </w:pPr>
            <w:r w:rsidRPr="00CD00FB">
              <w:rPr>
                <w:rFonts w:ascii="宋体" w:hAnsi="宋体" w:cs="宋体" w:hint="eastAsia"/>
                <w:color w:val="000000"/>
                <w:kern w:val="0"/>
                <w:sz w:val="22"/>
                <w:szCs w:val="22"/>
              </w:rPr>
              <w:t>栏次</w:t>
            </w:r>
          </w:p>
        </w:tc>
        <w:tc>
          <w:tcPr>
            <w:tcW w:w="1669" w:type="dxa"/>
            <w:shd w:val="clear" w:color="000000" w:fill="F1F1F1"/>
            <w:noWrap/>
            <w:vAlign w:val="center"/>
            <w:hideMark/>
          </w:tcPr>
          <w:p w14:paraId="38EA3563" w14:textId="77777777" w:rsidR="008215A0" w:rsidRPr="00CD00FB" w:rsidRDefault="008215A0" w:rsidP="00B27A98">
            <w:pPr>
              <w:widowControl/>
              <w:jc w:val="center"/>
              <w:rPr>
                <w:rFonts w:ascii="宋体" w:hAnsi="宋体" w:cs="宋体"/>
                <w:color w:val="000000"/>
                <w:kern w:val="0"/>
                <w:sz w:val="22"/>
                <w:szCs w:val="22"/>
              </w:rPr>
            </w:pPr>
            <w:r w:rsidRPr="00CD00FB">
              <w:rPr>
                <w:rFonts w:ascii="宋体" w:hAnsi="宋体" w:cs="宋体" w:hint="eastAsia"/>
                <w:color w:val="000000"/>
                <w:kern w:val="0"/>
                <w:sz w:val="22"/>
                <w:szCs w:val="22"/>
              </w:rPr>
              <w:t>1</w:t>
            </w:r>
          </w:p>
        </w:tc>
        <w:tc>
          <w:tcPr>
            <w:tcW w:w="1666" w:type="dxa"/>
            <w:shd w:val="clear" w:color="000000" w:fill="F1F1F1"/>
            <w:noWrap/>
            <w:vAlign w:val="center"/>
            <w:hideMark/>
          </w:tcPr>
          <w:p w14:paraId="0C0EDF93" w14:textId="77777777" w:rsidR="008215A0" w:rsidRPr="00CD00FB" w:rsidRDefault="008215A0" w:rsidP="00B27A98">
            <w:pPr>
              <w:widowControl/>
              <w:jc w:val="center"/>
              <w:rPr>
                <w:rFonts w:ascii="宋体" w:hAnsi="宋体" w:cs="宋体"/>
                <w:color w:val="000000"/>
                <w:kern w:val="0"/>
                <w:sz w:val="22"/>
                <w:szCs w:val="22"/>
              </w:rPr>
            </w:pPr>
            <w:r w:rsidRPr="00CD00FB">
              <w:rPr>
                <w:rFonts w:ascii="宋体" w:hAnsi="宋体" w:cs="宋体" w:hint="eastAsia"/>
                <w:color w:val="000000"/>
                <w:kern w:val="0"/>
                <w:sz w:val="22"/>
                <w:szCs w:val="22"/>
              </w:rPr>
              <w:t>2</w:t>
            </w:r>
          </w:p>
        </w:tc>
        <w:tc>
          <w:tcPr>
            <w:tcW w:w="1669" w:type="dxa"/>
            <w:shd w:val="clear" w:color="000000" w:fill="F1F1F1"/>
            <w:noWrap/>
            <w:vAlign w:val="center"/>
            <w:hideMark/>
          </w:tcPr>
          <w:p w14:paraId="31A3BE41" w14:textId="77777777" w:rsidR="008215A0" w:rsidRPr="00CD00FB" w:rsidRDefault="008215A0" w:rsidP="00B27A98">
            <w:pPr>
              <w:widowControl/>
              <w:jc w:val="center"/>
              <w:rPr>
                <w:rFonts w:ascii="宋体" w:hAnsi="宋体" w:cs="宋体"/>
                <w:color w:val="000000"/>
                <w:kern w:val="0"/>
                <w:sz w:val="22"/>
                <w:szCs w:val="22"/>
              </w:rPr>
            </w:pPr>
            <w:r w:rsidRPr="00CD00FB">
              <w:rPr>
                <w:rFonts w:ascii="宋体" w:hAnsi="宋体" w:cs="宋体" w:hint="eastAsia"/>
                <w:color w:val="000000"/>
                <w:kern w:val="0"/>
                <w:sz w:val="22"/>
                <w:szCs w:val="22"/>
              </w:rPr>
              <w:t>3</w:t>
            </w:r>
          </w:p>
        </w:tc>
      </w:tr>
      <w:tr w:rsidR="008215A0" w:rsidRPr="00CD00FB" w14:paraId="6EFCC478" w14:textId="77777777" w:rsidTr="00B27A98">
        <w:trPr>
          <w:trHeight w:val="300"/>
        </w:trPr>
        <w:tc>
          <w:tcPr>
            <w:tcW w:w="4960" w:type="dxa"/>
            <w:gridSpan w:val="2"/>
            <w:shd w:val="clear" w:color="000000" w:fill="F1F1F1"/>
            <w:noWrap/>
            <w:vAlign w:val="center"/>
            <w:hideMark/>
          </w:tcPr>
          <w:p w14:paraId="69D2D0FC" w14:textId="77777777" w:rsidR="008215A0" w:rsidRPr="00CD00FB" w:rsidRDefault="008215A0" w:rsidP="00B27A98">
            <w:pPr>
              <w:widowControl/>
              <w:jc w:val="center"/>
              <w:rPr>
                <w:rFonts w:ascii="宋体" w:hAnsi="宋体" w:cs="宋体"/>
                <w:color w:val="000000"/>
                <w:kern w:val="0"/>
                <w:sz w:val="22"/>
                <w:szCs w:val="22"/>
              </w:rPr>
            </w:pPr>
            <w:r w:rsidRPr="00CD00FB">
              <w:rPr>
                <w:rFonts w:ascii="宋体" w:hAnsi="宋体" w:cs="宋体" w:hint="eastAsia"/>
                <w:color w:val="000000"/>
                <w:kern w:val="0"/>
                <w:sz w:val="22"/>
                <w:szCs w:val="22"/>
              </w:rPr>
              <w:t>合计</w:t>
            </w:r>
          </w:p>
        </w:tc>
        <w:tc>
          <w:tcPr>
            <w:tcW w:w="1669" w:type="dxa"/>
            <w:shd w:val="clear" w:color="auto" w:fill="auto"/>
            <w:noWrap/>
            <w:vAlign w:val="center"/>
            <w:hideMark/>
          </w:tcPr>
          <w:p w14:paraId="57A84A28" w14:textId="77777777" w:rsidR="008215A0" w:rsidRPr="00CD00FB" w:rsidRDefault="008215A0" w:rsidP="00B27A98">
            <w:pPr>
              <w:widowControl/>
              <w:jc w:val="right"/>
              <w:rPr>
                <w:rFonts w:ascii="等线" w:eastAsia="等线" w:hAnsi="等线" w:cs="宋体"/>
                <w:color w:val="000000"/>
                <w:kern w:val="0"/>
                <w:sz w:val="22"/>
                <w:szCs w:val="22"/>
              </w:rPr>
            </w:pPr>
            <w:r w:rsidRPr="00CD00FB">
              <w:rPr>
                <w:rFonts w:ascii="等线" w:eastAsia="等线" w:hAnsi="等线" w:cs="宋体" w:hint="eastAsia"/>
                <w:color w:val="000000"/>
                <w:kern w:val="0"/>
                <w:sz w:val="22"/>
                <w:szCs w:val="22"/>
              </w:rPr>
              <w:t>12.12</w:t>
            </w:r>
          </w:p>
        </w:tc>
        <w:tc>
          <w:tcPr>
            <w:tcW w:w="1666" w:type="dxa"/>
            <w:shd w:val="clear" w:color="auto" w:fill="auto"/>
            <w:noWrap/>
            <w:vAlign w:val="center"/>
            <w:hideMark/>
          </w:tcPr>
          <w:p w14:paraId="6E31CEF9" w14:textId="77777777" w:rsidR="008215A0" w:rsidRPr="00CD00FB" w:rsidRDefault="008215A0" w:rsidP="00B27A98">
            <w:pPr>
              <w:widowControl/>
              <w:jc w:val="right"/>
              <w:rPr>
                <w:rFonts w:ascii="等线" w:eastAsia="等线" w:hAnsi="等线" w:cs="宋体"/>
                <w:color w:val="000000"/>
                <w:kern w:val="0"/>
                <w:sz w:val="22"/>
                <w:szCs w:val="22"/>
              </w:rPr>
            </w:pPr>
            <w:r w:rsidRPr="00CD00FB">
              <w:rPr>
                <w:rFonts w:ascii="等线" w:eastAsia="等线" w:hAnsi="等线" w:cs="宋体" w:hint="eastAsia"/>
                <w:color w:val="000000"/>
                <w:kern w:val="0"/>
                <w:sz w:val="22"/>
                <w:szCs w:val="22"/>
              </w:rPr>
              <w:t>0</w:t>
            </w:r>
          </w:p>
        </w:tc>
        <w:tc>
          <w:tcPr>
            <w:tcW w:w="1669" w:type="dxa"/>
            <w:shd w:val="clear" w:color="auto" w:fill="auto"/>
            <w:noWrap/>
            <w:vAlign w:val="center"/>
            <w:hideMark/>
          </w:tcPr>
          <w:p w14:paraId="07DE1C9F" w14:textId="77777777" w:rsidR="008215A0" w:rsidRPr="00CD00FB" w:rsidRDefault="008215A0" w:rsidP="00B27A98">
            <w:pPr>
              <w:widowControl/>
              <w:jc w:val="right"/>
              <w:rPr>
                <w:rFonts w:ascii="等线" w:eastAsia="等线" w:hAnsi="等线" w:cs="宋体"/>
                <w:color w:val="000000"/>
                <w:kern w:val="0"/>
                <w:sz w:val="22"/>
                <w:szCs w:val="22"/>
              </w:rPr>
            </w:pPr>
            <w:r w:rsidRPr="00CD00FB">
              <w:rPr>
                <w:rFonts w:ascii="等线" w:eastAsia="等线" w:hAnsi="等线" w:cs="宋体" w:hint="eastAsia"/>
                <w:color w:val="000000"/>
                <w:kern w:val="0"/>
                <w:sz w:val="22"/>
                <w:szCs w:val="22"/>
              </w:rPr>
              <w:t>12.12</w:t>
            </w:r>
          </w:p>
        </w:tc>
      </w:tr>
      <w:tr w:rsidR="008215A0" w:rsidRPr="00CD00FB" w14:paraId="26C9CCAC" w14:textId="77777777" w:rsidTr="00B27A98">
        <w:trPr>
          <w:trHeight w:val="300"/>
        </w:trPr>
        <w:tc>
          <w:tcPr>
            <w:tcW w:w="1020" w:type="dxa"/>
            <w:shd w:val="clear" w:color="000000" w:fill="FFFFFF"/>
            <w:noWrap/>
            <w:vAlign w:val="center"/>
            <w:hideMark/>
          </w:tcPr>
          <w:p w14:paraId="720A1F16" w14:textId="77777777" w:rsidR="008215A0" w:rsidRPr="00CD00FB" w:rsidRDefault="008215A0" w:rsidP="00B27A98">
            <w:pPr>
              <w:widowControl/>
              <w:jc w:val="left"/>
              <w:rPr>
                <w:rFonts w:ascii="宋体" w:hAnsi="宋体" w:cs="宋体"/>
                <w:color w:val="000000"/>
                <w:kern w:val="0"/>
                <w:sz w:val="22"/>
                <w:szCs w:val="22"/>
              </w:rPr>
            </w:pPr>
            <w:r w:rsidRPr="00CD00FB">
              <w:rPr>
                <w:rFonts w:ascii="宋体" w:hAnsi="宋体" w:cs="宋体" w:hint="eastAsia"/>
                <w:color w:val="000000"/>
                <w:kern w:val="0"/>
                <w:sz w:val="22"/>
                <w:szCs w:val="22"/>
              </w:rPr>
              <w:t>2230199</w:t>
            </w:r>
          </w:p>
        </w:tc>
        <w:tc>
          <w:tcPr>
            <w:tcW w:w="3940" w:type="dxa"/>
            <w:shd w:val="clear" w:color="000000" w:fill="FFFFFF"/>
            <w:noWrap/>
            <w:vAlign w:val="center"/>
            <w:hideMark/>
          </w:tcPr>
          <w:p w14:paraId="095773A0" w14:textId="77777777" w:rsidR="008215A0" w:rsidRPr="00CD00FB" w:rsidRDefault="008215A0" w:rsidP="00B27A98">
            <w:pPr>
              <w:widowControl/>
              <w:jc w:val="left"/>
              <w:rPr>
                <w:rFonts w:ascii="宋体" w:hAnsi="宋体" w:cs="宋体"/>
                <w:color w:val="000000"/>
                <w:kern w:val="0"/>
                <w:sz w:val="22"/>
                <w:szCs w:val="22"/>
              </w:rPr>
            </w:pPr>
            <w:r w:rsidRPr="00CD00FB">
              <w:rPr>
                <w:rFonts w:ascii="宋体" w:hAnsi="宋体" w:cs="宋体" w:hint="eastAsia"/>
                <w:color w:val="000000"/>
                <w:kern w:val="0"/>
                <w:sz w:val="22"/>
                <w:szCs w:val="22"/>
              </w:rPr>
              <w:t>其他解决历史遗留问题及改革成本支出</w:t>
            </w:r>
          </w:p>
        </w:tc>
        <w:tc>
          <w:tcPr>
            <w:tcW w:w="1669" w:type="dxa"/>
            <w:shd w:val="clear" w:color="auto" w:fill="auto"/>
            <w:noWrap/>
            <w:vAlign w:val="center"/>
            <w:hideMark/>
          </w:tcPr>
          <w:p w14:paraId="7AFB7280" w14:textId="77777777" w:rsidR="008215A0" w:rsidRPr="00CD00FB" w:rsidRDefault="008215A0" w:rsidP="00B27A98">
            <w:pPr>
              <w:widowControl/>
              <w:jc w:val="right"/>
              <w:rPr>
                <w:rFonts w:ascii="等线" w:eastAsia="等线" w:hAnsi="等线" w:cs="宋体"/>
                <w:color w:val="000000"/>
                <w:kern w:val="0"/>
                <w:sz w:val="22"/>
                <w:szCs w:val="22"/>
              </w:rPr>
            </w:pPr>
            <w:r w:rsidRPr="00CD00FB">
              <w:rPr>
                <w:rFonts w:ascii="等线" w:eastAsia="等线" w:hAnsi="等线" w:cs="宋体" w:hint="eastAsia"/>
                <w:color w:val="000000"/>
                <w:kern w:val="0"/>
                <w:sz w:val="22"/>
                <w:szCs w:val="22"/>
              </w:rPr>
              <w:t>12.12</w:t>
            </w:r>
          </w:p>
        </w:tc>
        <w:tc>
          <w:tcPr>
            <w:tcW w:w="1666" w:type="dxa"/>
            <w:shd w:val="clear" w:color="auto" w:fill="auto"/>
            <w:noWrap/>
            <w:vAlign w:val="center"/>
            <w:hideMark/>
          </w:tcPr>
          <w:p w14:paraId="1B648D3E" w14:textId="77777777" w:rsidR="008215A0" w:rsidRPr="00CD00FB" w:rsidRDefault="008215A0" w:rsidP="00B27A98">
            <w:pPr>
              <w:widowControl/>
              <w:jc w:val="right"/>
              <w:rPr>
                <w:rFonts w:ascii="等线" w:eastAsia="等线" w:hAnsi="等线" w:cs="宋体"/>
                <w:color w:val="000000"/>
                <w:kern w:val="0"/>
                <w:sz w:val="22"/>
                <w:szCs w:val="22"/>
              </w:rPr>
            </w:pPr>
            <w:r w:rsidRPr="00CD00FB">
              <w:rPr>
                <w:rFonts w:ascii="等线" w:eastAsia="等线" w:hAnsi="等线" w:cs="宋体" w:hint="eastAsia"/>
                <w:color w:val="000000"/>
                <w:kern w:val="0"/>
                <w:sz w:val="22"/>
                <w:szCs w:val="22"/>
              </w:rPr>
              <w:t>0</w:t>
            </w:r>
          </w:p>
        </w:tc>
        <w:tc>
          <w:tcPr>
            <w:tcW w:w="1669" w:type="dxa"/>
            <w:shd w:val="clear" w:color="auto" w:fill="auto"/>
            <w:noWrap/>
            <w:vAlign w:val="center"/>
            <w:hideMark/>
          </w:tcPr>
          <w:p w14:paraId="7B8B36FF" w14:textId="77777777" w:rsidR="008215A0" w:rsidRPr="00CD00FB" w:rsidRDefault="008215A0" w:rsidP="00B27A98">
            <w:pPr>
              <w:widowControl/>
              <w:jc w:val="right"/>
              <w:rPr>
                <w:rFonts w:ascii="等线" w:eastAsia="等线" w:hAnsi="等线" w:cs="宋体"/>
                <w:color w:val="000000"/>
                <w:kern w:val="0"/>
                <w:sz w:val="22"/>
                <w:szCs w:val="22"/>
              </w:rPr>
            </w:pPr>
            <w:r w:rsidRPr="00CD00FB">
              <w:rPr>
                <w:rFonts w:ascii="等线" w:eastAsia="等线" w:hAnsi="等线" w:cs="宋体" w:hint="eastAsia"/>
                <w:color w:val="000000"/>
                <w:kern w:val="0"/>
                <w:sz w:val="22"/>
                <w:szCs w:val="22"/>
              </w:rPr>
              <w:t>12.12</w:t>
            </w:r>
          </w:p>
        </w:tc>
      </w:tr>
      <w:tr w:rsidR="008215A0" w:rsidRPr="00CD00FB" w14:paraId="57E30E57" w14:textId="77777777" w:rsidTr="00B27A98">
        <w:trPr>
          <w:trHeight w:val="300"/>
        </w:trPr>
        <w:tc>
          <w:tcPr>
            <w:tcW w:w="9964" w:type="dxa"/>
            <w:gridSpan w:val="5"/>
            <w:shd w:val="clear" w:color="000000" w:fill="FFFFFF"/>
            <w:noWrap/>
            <w:vAlign w:val="center"/>
            <w:hideMark/>
          </w:tcPr>
          <w:p w14:paraId="26BDBC07" w14:textId="77777777" w:rsidR="008215A0" w:rsidRPr="00CD00FB" w:rsidRDefault="008215A0" w:rsidP="00B27A98">
            <w:pPr>
              <w:widowControl/>
              <w:jc w:val="left"/>
              <w:rPr>
                <w:rFonts w:ascii="宋体" w:hAnsi="宋体" w:cs="宋体"/>
                <w:color w:val="000000"/>
                <w:kern w:val="0"/>
                <w:sz w:val="22"/>
                <w:szCs w:val="22"/>
              </w:rPr>
            </w:pPr>
            <w:r w:rsidRPr="00CD00FB">
              <w:rPr>
                <w:rFonts w:ascii="宋体" w:hAnsi="宋体" w:cs="宋体" w:hint="eastAsia"/>
                <w:color w:val="000000"/>
                <w:kern w:val="0"/>
                <w:sz w:val="22"/>
                <w:szCs w:val="22"/>
              </w:rPr>
              <w:t>注：本表反映部门本年度国有资本经营预算财政拨款支出情况。</w:t>
            </w:r>
          </w:p>
        </w:tc>
      </w:tr>
    </w:tbl>
    <w:p w14:paraId="3CAA097B" w14:textId="77777777" w:rsidR="008215A0" w:rsidRDefault="008215A0" w:rsidP="008215A0">
      <w:pPr>
        <w:jc w:val="center"/>
        <w:rPr>
          <w:rFonts w:ascii="黑体" w:eastAsia="黑体" w:hAnsi="黑体"/>
          <w:sz w:val="32"/>
          <w:szCs w:val="32"/>
        </w:rPr>
      </w:pPr>
    </w:p>
    <w:p w14:paraId="623A8069" w14:textId="77777777" w:rsidR="008215A0" w:rsidRDefault="008215A0" w:rsidP="008215A0">
      <w:pPr>
        <w:widowControl/>
        <w:jc w:val="left"/>
        <w:rPr>
          <w:rFonts w:ascii="黑体" w:eastAsia="黑体" w:hAnsi="黑体"/>
          <w:sz w:val="32"/>
          <w:szCs w:val="32"/>
        </w:rPr>
      </w:pPr>
      <w:r>
        <w:rPr>
          <w:rFonts w:ascii="黑体" w:eastAsia="黑体" w:hAnsi="黑体"/>
          <w:sz w:val="32"/>
          <w:szCs w:val="32"/>
        </w:rPr>
        <w:br w:type="page"/>
      </w:r>
    </w:p>
    <w:p w14:paraId="795D15FB" w14:textId="77777777" w:rsidR="008215A0" w:rsidRDefault="008215A0" w:rsidP="008215A0">
      <w:pPr>
        <w:jc w:val="center"/>
        <w:rPr>
          <w:rFonts w:ascii="黑体" w:eastAsia="黑体" w:hAnsi="黑体"/>
          <w:sz w:val="32"/>
          <w:szCs w:val="32"/>
        </w:rPr>
      </w:pPr>
      <w:r>
        <w:rPr>
          <w:rFonts w:ascii="黑体" w:eastAsia="黑体" w:hAnsi="黑体" w:hint="eastAsia"/>
          <w:sz w:val="32"/>
          <w:szCs w:val="32"/>
        </w:rPr>
        <w:lastRenderedPageBreak/>
        <w:t>财政拨款“三公”经费支出决算表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825"/>
        <w:gridCol w:w="948"/>
        <w:gridCol w:w="825"/>
        <w:gridCol w:w="833"/>
        <w:gridCol w:w="825"/>
        <w:gridCol w:w="1002"/>
        <w:gridCol w:w="1096"/>
        <w:gridCol w:w="1096"/>
      </w:tblGrid>
      <w:tr w:rsidR="008215A0" w:rsidRPr="00CD00FB" w14:paraId="2C29DBE2" w14:textId="77777777" w:rsidTr="00B27A98">
        <w:trPr>
          <w:trHeight w:val="300"/>
        </w:trPr>
        <w:tc>
          <w:tcPr>
            <w:tcW w:w="5000" w:type="pct"/>
            <w:gridSpan w:val="9"/>
            <w:shd w:val="clear" w:color="000000" w:fill="F1F1F1"/>
            <w:noWrap/>
            <w:vAlign w:val="center"/>
            <w:hideMark/>
          </w:tcPr>
          <w:p w14:paraId="03213639"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财政拨款“三公”经费</w:t>
            </w:r>
          </w:p>
        </w:tc>
      </w:tr>
      <w:tr w:rsidR="008215A0" w:rsidRPr="00CD00FB" w14:paraId="7BEBBE35" w14:textId="77777777" w:rsidTr="00B27A98">
        <w:trPr>
          <w:trHeight w:val="300"/>
        </w:trPr>
        <w:tc>
          <w:tcPr>
            <w:tcW w:w="353" w:type="pct"/>
            <w:vMerge w:val="restart"/>
            <w:shd w:val="clear" w:color="000000" w:fill="F1F1F1"/>
            <w:noWrap/>
            <w:vAlign w:val="center"/>
            <w:hideMark/>
          </w:tcPr>
          <w:p w14:paraId="5CE54944"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项目</w:t>
            </w:r>
          </w:p>
        </w:tc>
        <w:tc>
          <w:tcPr>
            <w:tcW w:w="517" w:type="pct"/>
            <w:vMerge w:val="restart"/>
            <w:shd w:val="clear" w:color="000000" w:fill="F1F1F1"/>
            <w:vAlign w:val="center"/>
            <w:hideMark/>
          </w:tcPr>
          <w:p w14:paraId="63389037"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合计</w:t>
            </w:r>
          </w:p>
        </w:tc>
        <w:tc>
          <w:tcPr>
            <w:tcW w:w="591" w:type="pct"/>
            <w:vMerge w:val="restart"/>
            <w:shd w:val="clear" w:color="000000" w:fill="F1F1F1"/>
            <w:vAlign w:val="center"/>
            <w:hideMark/>
          </w:tcPr>
          <w:p w14:paraId="0C017802"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因公出国（境）费</w:t>
            </w:r>
          </w:p>
        </w:tc>
        <w:tc>
          <w:tcPr>
            <w:tcW w:w="1556" w:type="pct"/>
            <w:gridSpan w:val="3"/>
            <w:shd w:val="clear" w:color="000000" w:fill="F1F1F1"/>
            <w:vAlign w:val="center"/>
            <w:hideMark/>
          </w:tcPr>
          <w:p w14:paraId="2F659907"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公务用车购置及运行维护费</w:t>
            </w:r>
          </w:p>
        </w:tc>
        <w:tc>
          <w:tcPr>
            <w:tcW w:w="623" w:type="pct"/>
            <w:vMerge w:val="restart"/>
            <w:shd w:val="clear" w:color="000000" w:fill="F1F1F1"/>
            <w:vAlign w:val="center"/>
            <w:hideMark/>
          </w:tcPr>
          <w:p w14:paraId="67AC7323"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公务接待费</w:t>
            </w:r>
          </w:p>
        </w:tc>
        <w:tc>
          <w:tcPr>
            <w:tcW w:w="680" w:type="pct"/>
            <w:vMerge w:val="restart"/>
            <w:shd w:val="clear" w:color="000000" w:fill="F1F1F1"/>
            <w:noWrap/>
            <w:vAlign w:val="center"/>
            <w:hideMark/>
          </w:tcPr>
          <w:p w14:paraId="5DC9FE7F"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会议费</w:t>
            </w:r>
          </w:p>
        </w:tc>
        <w:tc>
          <w:tcPr>
            <w:tcW w:w="680" w:type="pct"/>
            <w:vMerge w:val="restart"/>
            <w:shd w:val="clear" w:color="000000" w:fill="F1F1F1"/>
            <w:noWrap/>
            <w:vAlign w:val="center"/>
            <w:hideMark/>
          </w:tcPr>
          <w:p w14:paraId="293546D9"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培训费</w:t>
            </w:r>
          </w:p>
        </w:tc>
      </w:tr>
      <w:tr w:rsidR="008215A0" w:rsidRPr="00CD00FB" w14:paraId="79FB0716" w14:textId="77777777" w:rsidTr="00B27A98">
        <w:trPr>
          <w:trHeight w:val="600"/>
        </w:trPr>
        <w:tc>
          <w:tcPr>
            <w:tcW w:w="353" w:type="pct"/>
            <w:vMerge/>
            <w:vAlign w:val="center"/>
            <w:hideMark/>
          </w:tcPr>
          <w:p w14:paraId="1DECED1E" w14:textId="77777777" w:rsidR="008215A0" w:rsidRPr="00CD00FB" w:rsidRDefault="008215A0" w:rsidP="00B27A98">
            <w:pPr>
              <w:widowControl/>
              <w:jc w:val="left"/>
              <w:rPr>
                <w:rFonts w:ascii="宋体" w:hAnsi="宋体" w:cs="宋体"/>
                <w:color w:val="000000"/>
                <w:kern w:val="0"/>
                <w:szCs w:val="21"/>
              </w:rPr>
            </w:pPr>
          </w:p>
        </w:tc>
        <w:tc>
          <w:tcPr>
            <w:tcW w:w="517" w:type="pct"/>
            <w:vMerge/>
            <w:vAlign w:val="center"/>
            <w:hideMark/>
          </w:tcPr>
          <w:p w14:paraId="25516719" w14:textId="77777777" w:rsidR="008215A0" w:rsidRPr="00CD00FB" w:rsidRDefault="008215A0" w:rsidP="00B27A98">
            <w:pPr>
              <w:widowControl/>
              <w:jc w:val="left"/>
              <w:rPr>
                <w:rFonts w:ascii="宋体" w:hAnsi="宋体" w:cs="宋体"/>
                <w:color w:val="000000"/>
                <w:kern w:val="0"/>
                <w:szCs w:val="21"/>
              </w:rPr>
            </w:pPr>
          </w:p>
        </w:tc>
        <w:tc>
          <w:tcPr>
            <w:tcW w:w="591" w:type="pct"/>
            <w:vMerge/>
            <w:vAlign w:val="center"/>
            <w:hideMark/>
          </w:tcPr>
          <w:p w14:paraId="3EED03B2" w14:textId="77777777" w:rsidR="008215A0" w:rsidRPr="00CD00FB" w:rsidRDefault="008215A0" w:rsidP="00B27A98">
            <w:pPr>
              <w:widowControl/>
              <w:jc w:val="left"/>
              <w:rPr>
                <w:rFonts w:ascii="宋体" w:hAnsi="宋体" w:cs="宋体"/>
                <w:color w:val="000000"/>
                <w:kern w:val="0"/>
                <w:szCs w:val="21"/>
              </w:rPr>
            </w:pPr>
          </w:p>
        </w:tc>
        <w:tc>
          <w:tcPr>
            <w:tcW w:w="517" w:type="pct"/>
            <w:shd w:val="clear" w:color="000000" w:fill="F1F1F1"/>
            <w:vAlign w:val="center"/>
            <w:hideMark/>
          </w:tcPr>
          <w:p w14:paraId="25B3A6CC"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小计</w:t>
            </w:r>
          </w:p>
        </w:tc>
        <w:tc>
          <w:tcPr>
            <w:tcW w:w="522" w:type="pct"/>
            <w:shd w:val="clear" w:color="000000" w:fill="F1F1F1"/>
            <w:vAlign w:val="center"/>
            <w:hideMark/>
          </w:tcPr>
          <w:p w14:paraId="78129F7F"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公务用车购置费</w:t>
            </w:r>
          </w:p>
        </w:tc>
        <w:tc>
          <w:tcPr>
            <w:tcW w:w="517" w:type="pct"/>
            <w:shd w:val="clear" w:color="000000" w:fill="F1F1F1"/>
            <w:vAlign w:val="center"/>
            <w:hideMark/>
          </w:tcPr>
          <w:p w14:paraId="7D7DBE99"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公务用车运行维护费</w:t>
            </w:r>
          </w:p>
        </w:tc>
        <w:tc>
          <w:tcPr>
            <w:tcW w:w="623" w:type="pct"/>
            <w:vMerge/>
            <w:vAlign w:val="center"/>
            <w:hideMark/>
          </w:tcPr>
          <w:p w14:paraId="5C05F056" w14:textId="77777777" w:rsidR="008215A0" w:rsidRPr="00CD00FB" w:rsidRDefault="008215A0" w:rsidP="00B27A98">
            <w:pPr>
              <w:widowControl/>
              <w:jc w:val="left"/>
              <w:rPr>
                <w:rFonts w:ascii="宋体" w:hAnsi="宋体" w:cs="宋体"/>
                <w:color w:val="000000"/>
                <w:kern w:val="0"/>
                <w:szCs w:val="21"/>
              </w:rPr>
            </w:pPr>
          </w:p>
        </w:tc>
        <w:tc>
          <w:tcPr>
            <w:tcW w:w="680" w:type="pct"/>
            <w:vMerge/>
            <w:vAlign w:val="center"/>
            <w:hideMark/>
          </w:tcPr>
          <w:p w14:paraId="6AE1FDB7" w14:textId="77777777" w:rsidR="008215A0" w:rsidRPr="00CD00FB" w:rsidRDefault="008215A0" w:rsidP="00B27A98">
            <w:pPr>
              <w:widowControl/>
              <w:jc w:val="left"/>
              <w:rPr>
                <w:rFonts w:ascii="宋体" w:hAnsi="宋体" w:cs="宋体"/>
                <w:color w:val="000000"/>
                <w:kern w:val="0"/>
                <w:szCs w:val="21"/>
              </w:rPr>
            </w:pPr>
          </w:p>
        </w:tc>
        <w:tc>
          <w:tcPr>
            <w:tcW w:w="680" w:type="pct"/>
            <w:vMerge/>
            <w:vAlign w:val="center"/>
            <w:hideMark/>
          </w:tcPr>
          <w:p w14:paraId="7ACF3396" w14:textId="77777777" w:rsidR="008215A0" w:rsidRPr="00CD00FB" w:rsidRDefault="008215A0" w:rsidP="00B27A98">
            <w:pPr>
              <w:widowControl/>
              <w:jc w:val="left"/>
              <w:rPr>
                <w:rFonts w:ascii="宋体" w:hAnsi="宋体" w:cs="宋体"/>
                <w:color w:val="000000"/>
                <w:kern w:val="0"/>
                <w:szCs w:val="21"/>
              </w:rPr>
            </w:pPr>
          </w:p>
        </w:tc>
      </w:tr>
      <w:tr w:rsidR="008215A0" w:rsidRPr="00CD00FB" w14:paraId="71F8B034" w14:textId="77777777" w:rsidTr="00B27A98">
        <w:trPr>
          <w:trHeight w:val="300"/>
        </w:trPr>
        <w:tc>
          <w:tcPr>
            <w:tcW w:w="353" w:type="pct"/>
            <w:shd w:val="clear" w:color="000000" w:fill="F1F1F1"/>
            <w:noWrap/>
            <w:vAlign w:val="center"/>
            <w:hideMark/>
          </w:tcPr>
          <w:p w14:paraId="2E4BD21A"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栏次</w:t>
            </w:r>
          </w:p>
        </w:tc>
        <w:tc>
          <w:tcPr>
            <w:tcW w:w="517" w:type="pct"/>
            <w:shd w:val="clear" w:color="000000" w:fill="F1F1F1"/>
            <w:vAlign w:val="center"/>
            <w:hideMark/>
          </w:tcPr>
          <w:p w14:paraId="2DC7F3B5"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1</w:t>
            </w:r>
          </w:p>
        </w:tc>
        <w:tc>
          <w:tcPr>
            <w:tcW w:w="591" w:type="pct"/>
            <w:shd w:val="clear" w:color="000000" w:fill="F1F1F1"/>
            <w:vAlign w:val="center"/>
            <w:hideMark/>
          </w:tcPr>
          <w:p w14:paraId="6ADD2C6F"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2</w:t>
            </w:r>
          </w:p>
        </w:tc>
        <w:tc>
          <w:tcPr>
            <w:tcW w:w="517" w:type="pct"/>
            <w:shd w:val="clear" w:color="000000" w:fill="F1F1F1"/>
            <w:vAlign w:val="center"/>
            <w:hideMark/>
          </w:tcPr>
          <w:p w14:paraId="41FE9BAE"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3</w:t>
            </w:r>
          </w:p>
        </w:tc>
        <w:tc>
          <w:tcPr>
            <w:tcW w:w="522" w:type="pct"/>
            <w:shd w:val="clear" w:color="000000" w:fill="F1F1F1"/>
            <w:vAlign w:val="center"/>
            <w:hideMark/>
          </w:tcPr>
          <w:p w14:paraId="5FA737B4"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4</w:t>
            </w:r>
          </w:p>
        </w:tc>
        <w:tc>
          <w:tcPr>
            <w:tcW w:w="517" w:type="pct"/>
            <w:shd w:val="clear" w:color="000000" w:fill="F1F1F1"/>
            <w:vAlign w:val="center"/>
            <w:hideMark/>
          </w:tcPr>
          <w:p w14:paraId="2D10D7E6"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5</w:t>
            </w:r>
          </w:p>
        </w:tc>
        <w:tc>
          <w:tcPr>
            <w:tcW w:w="623" w:type="pct"/>
            <w:shd w:val="clear" w:color="000000" w:fill="F1F1F1"/>
            <w:vAlign w:val="center"/>
            <w:hideMark/>
          </w:tcPr>
          <w:p w14:paraId="7A374E6B"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6</w:t>
            </w:r>
          </w:p>
        </w:tc>
        <w:tc>
          <w:tcPr>
            <w:tcW w:w="680" w:type="pct"/>
            <w:shd w:val="clear" w:color="000000" w:fill="F1F1F1"/>
            <w:vAlign w:val="center"/>
            <w:hideMark/>
          </w:tcPr>
          <w:p w14:paraId="36C86418"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7</w:t>
            </w:r>
          </w:p>
        </w:tc>
        <w:tc>
          <w:tcPr>
            <w:tcW w:w="680" w:type="pct"/>
            <w:shd w:val="clear" w:color="000000" w:fill="F1F1F1"/>
            <w:vAlign w:val="center"/>
            <w:hideMark/>
          </w:tcPr>
          <w:p w14:paraId="40B4C50F"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8</w:t>
            </w:r>
          </w:p>
        </w:tc>
      </w:tr>
      <w:tr w:rsidR="008215A0" w:rsidRPr="00CD00FB" w14:paraId="1E920B6C" w14:textId="77777777" w:rsidTr="00B27A98">
        <w:trPr>
          <w:trHeight w:val="300"/>
        </w:trPr>
        <w:tc>
          <w:tcPr>
            <w:tcW w:w="353" w:type="pct"/>
            <w:shd w:val="clear" w:color="000000" w:fill="F1F1F1"/>
            <w:noWrap/>
            <w:vAlign w:val="center"/>
            <w:hideMark/>
          </w:tcPr>
          <w:p w14:paraId="6C8CC056"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预算数</w:t>
            </w:r>
          </w:p>
        </w:tc>
        <w:tc>
          <w:tcPr>
            <w:tcW w:w="517" w:type="pct"/>
            <w:shd w:val="clear" w:color="auto" w:fill="auto"/>
            <w:noWrap/>
            <w:vAlign w:val="center"/>
            <w:hideMark/>
          </w:tcPr>
          <w:p w14:paraId="6EBB9069"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7.30</w:t>
            </w:r>
          </w:p>
        </w:tc>
        <w:tc>
          <w:tcPr>
            <w:tcW w:w="591" w:type="pct"/>
            <w:shd w:val="clear" w:color="auto" w:fill="auto"/>
            <w:noWrap/>
            <w:vAlign w:val="center"/>
            <w:hideMark/>
          </w:tcPr>
          <w:p w14:paraId="2C9FFF03"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517" w:type="pct"/>
            <w:shd w:val="clear" w:color="auto" w:fill="auto"/>
            <w:noWrap/>
            <w:vAlign w:val="center"/>
            <w:hideMark/>
          </w:tcPr>
          <w:p w14:paraId="1106DB1A"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3.10</w:t>
            </w:r>
          </w:p>
        </w:tc>
        <w:tc>
          <w:tcPr>
            <w:tcW w:w="522" w:type="pct"/>
            <w:shd w:val="clear" w:color="auto" w:fill="auto"/>
            <w:noWrap/>
            <w:vAlign w:val="center"/>
            <w:hideMark/>
          </w:tcPr>
          <w:p w14:paraId="4F103316"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517" w:type="pct"/>
            <w:shd w:val="clear" w:color="auto" w:fill="auto"/>
            <w:noWrap/>
            <w:vAlign w:val="center"/>
            <w:hideMark/>
          </w:tcPr>
          <w:p w14:paraId="3B84A723"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3.10</w:t>
            </w:r>
          </w:p>
        </w:tc>
        <w:tc>
          <w:tcPr>
            <w:tcW w:w="623" w:type="pct"/>
            <w:shd w:val="clear" w:color="auto" w:fill="auto"/>
            <w:noWrap/>
            <w:vAlign w:val="center"/>
            <w:hideMark/>
          </w:tcPr>
          <w:p w14:paraId="6B0CC2E1"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4.20</w:t>
            </w:r>
          </w:p>
        </w:tc>
        <w:tc>
          <w:tcPr>
            <w:tcW w:w="680" w:type="pct"/>
            <w:shd w:val="clear" w:color="auto" w:fill="auto"/>
            <w:noWrap/>
            <w:vAlign w:val="center"/>
            <w:hideMark/>
          </w:tcPr>
          <w:p w14:paraId="639D116B"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680" w:type="pct"/>
            <w:shd w:val="clear" w:color="auto" w:fill="auto"/>
            <w:noWrap/>
            <w:vAlign w:val="center"/>
            <w:hideMark/>
          </w:tcPr>
          <w:p w14:paraId="1BB2346D"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r>
      <w:tr w:rsidR="008215A0" w:rsidRPr="00CD00FB" w14:paraId="470A601E" w14:textId="77777777" w:rsidTr="00B27A98">
        <w:trPr>
          <w:trHeight w:val="300"/>
        </w:trPr>
        <w:tc>
          <w:tcPr>
            <w:tcW w:w="353" w:type="pct"/>
            <w:shd w:val="clear" w:color="000000" w:fill="F1F1F1"/>
            <w:noWrap/>
            <w:vAlign w:val="center"/>
            <w:hideMark/>
          </w:tcPr>
          <w:p w14:paraId="63CCEF32" w14:textId="77777777" w:rsidR="008215A0" w:rsidRPr="00CD00FB" w:rsidRDefault="008215A0" w:rsidP="00B27A98">
            <w:pPr>
              <w:widowControl/>
              <w:jc w:val="center"/>
              <w:rPr>
                <w:rFonts w:ascii="宋体" w:hAnsi="宋体" w:cs="宋体"/>
                <w:color w:val="000000"/>
                <w:kern w:val="0"/>
                <w:szCs w:val="21"/>
              </w:rPr>
            </w:pPr>
            <w:r w:rsidRPr="00CD00FB">
              <w:rPr>
                <w:rFonts w:ascii="宋体" w:hAnsi="宋体" w:cs="宋体" w:hint="eastAsia"/>
                <w:color w:val="000000"/>
                <w:kern w:val="0"/>
                <w:szCs w:val="21"/>
              </w:rPr>
              <w:t>决算数</w:t>
            </w:r>
          </w:p>
        </w:tc>
        <w:tc>
          <w:tcPr>
            <w:tcW w:w="517" w:type="pct"/>
            <w:shd w:val="clear" w:color="auto" w:fill="auto"/>
            <w:noWrap/>
            <w:vAlign w:val="center"/>
            <w:hideMark/>
          </w:tcPr>
          <w:p w14:paraId="48013D83"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7.30</w:t>
            </w:r>
          </w:p>
        </w:tc>
        <w:tc>
          <w:tcPr>
            <w:tcW w:w="591" w:type="pct"/>
            <w:shd w:val="clear" w:color="auto" w:fill="auto"/>
            <w:noWrap/>
            <w:vAlign w:val="center"/>
            <w:hideMark/>
          </w:tcPr>
          <w:p w14:paraId="72A19717"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517" w:type="pct"/>
            <w:shd w:val="clear" w:color="auto" w:fill="auto"/>
            <w:noWrap/>
            <w:vAlign w:val="center"/>
            <w:hideMark/>
          </w:tcPr>
          <w:p w14:paraId="3C2E38A7"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3.10</w:t>
            </w:r>
          </w:p>
        </w:tc>
        <w:tc>
          <w:tcPr>
            <w:tcW w:w="522" w:type="pct"/>
            <w:shd w:val="clear" w:color="auto" w:fill="auto"/>
            <w:noWrap/>
            <w:vAlign w:val="center"/>
            <w:hideMark/>
          </w:tcPr>
          <w:p w14:paraId="54403CB4"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0.00</w:t>
            </w:r>
          </w:p>
        </w:tc>
        <w:tc>
          <w:tcPr>
            <w:tcW w:w="517" w:type="pct"/>
            <w:shd w:val="clear" w:color="auto" w:fill="auto"/>
            <w:noWrap/>
            <w:vAlign w:val="center"/>
            <w:hideMark/>
          </w:tcPr>
          <w:p w14:paraId="3F659DA8"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3.10</w:t>
            </w:r>
          </w:p>
        </w:tc>
        <w:tc>
          <w:tcPr>
            <w:tcW w:w="623" w:type="pct"/>
            <w:shd w:val="clear" w:color="auto" w:fill="auto"/>
            <w:noWrap/>
            <w:vAlign w:val="center"/>
            <w:hideMark/>
          </w:tcPr>
          <w:p w14:paraId="385E0ED2"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4.20</w:t>
            </w:r>
          </w:p>
        </w:tc>
        <w:tc>
          <w:tcPr>
            <w:tcW w:w="680" w:type="pct"/>
            <w:shd w:val="clear" w:color="auto" w:fill="auto"/>
            <w:noWrap/>
            <w:vAlign w:val="center"/>
            <w:hideMark/>
          </w:tcPr>
          <w:p w14:paraId="0B6B717F"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24.19</w:t>
            </w:r>
          </w:p>
        </w:tc>
        <w:tc>
          <w:tcPr>
            <w:tcW w:w="680" w:type="pct"/>
            <w:shd w:val="clear" w:color="auto" w:fill="auto"/>
            <w:noWrap/>
            <w:vAlign w:val="center"/>
            <w:hideMark/>
          </w:tcPr>
          <w:p w14:paraId="33EDDB7F" w14:textId="77777777" w:rsidR="008215A0" w:rsidRPr="00CD00FB" w:rsidRDefault="008215A0" w:rsidP="00B27A98">
            <w:pPr>
              <w:widowControl/>
              <w:jc w:val="right"/>
              <w:rPr>
                <w:rFonts w:ascii="宋体" w:hAnsi="宋体" w:cs="宋体"/>
                <w:color w:val="000000"/>
                <w:kern w:val="0"/>
                <w:szCs w:val="21"/>
              </w:rPr>
            </w:pPr>
            <w:r w:rsidRPr="00CD00FB">
              <w:rPr>
                <w:rFonts w:ascii="宋体" w:hAnsi="宋体" w:cs="宋体" w:hint="eastAsia"/>
                <w:color w:val="000000"/>
                <w:kern w:val="0"/>
                <w:szCs w:val="21"/>
              </w:rPr>
              <w:t>0.48</w:t>
            </w:r>
          </w:p>
        </w:tc>
      </w:tr>
      <w:tr w:rsidR="008215A0" w:rsidRPr="00CD00FB" w14:paraId="1312C1C4" w14:textId="77777777" w:rsidTr="00B27A98">
        <w:trPr>
          <w:trHeight w:val="750"/>
        </w:trPr>
        <w:tc>
          <w:tcPr>
            <w:tcW w:w="5000" w:type="pct"/>
            <w:gridSpan w:val="9"/>
            <w:shd w:val="clear" w:color="000000" w:fill="FFFFFF"/>
            <w:vAlign w:val="center"/>
            <w:hideMark/>
          </w:tcPr>
          <w:p w14:paraId="74163596" w14:textId="77777777" w:rsidR="008215A0" w:rsidRPr="00CD00FB" w:rsidRDefault="008215A0" w:rsidP="00B27A98">
            <w:pPr>
              <w:widowControl/>
              <w:jc w:val="left"/>
              <w:rPr>
                <w:rFonts w:ascii="宋体" w:hAnsi="宋体" w:cs="宋体"/>
                <w:color w:val="000000"/>
                <w:kern w:val="0"/>
                <w:szCs w:val="21"/>
              </w:rPr>
            </w:pPr>
            <w:r w:rsidRPr="00CD00FB">
              <w:rPr>
                <w:rFonts w:ascii="宋体" w:hAnsi="宋体" w:cs="宋体" w:hint="eastAsia"/>
                <w:color w:val="000000"/>
                <w:kern w:val="0"/>
                <w:szCs w:val="21"/>
              </w:rPr>
              <w:t>注：本表反映部门本年度财政拨款“三公”经费支出预决算情况。其中，预算数为“三公”经费全年预算数，反映按规定程序调整后的预算数；</w:t>
            </w:r>
            <w:r w:rsidRPr="00CD00FB">
              <w:rPr>
                <w:rFonts w:ascii="宋体" w:hAnsi="宋体" w:cs="宋体" w:hint="eastAsia"/>
                <w:color w:val="000000"/>
                <w:kern w:val="0"/>
                <w:szCs w:val="21"/>
              </w:rPr>
              <w:br/>
            </w:r>
            <w:r w:rsidRPr="00CD00FB">
              <w:rPr>
                <w:rFonts w:ascii="宋体" w:hAnsi="宋体" w:cs="宋体" w:hint="eastAsia"/>
                <w:color w:val="000000"/>
                <w:kern w:val="0"/>
                <w:szCs w:val="21"/>
              </w:rPr>
              <w:br/>
              <w:t xml:space="preserve">决算数是包括当年财政拨款和以前年度结转资金安排的实际支出。                                                                                        </w:t>
            </w:r>
          </w:p>
        </w:tc>
      </w:tr>
    </w:tbl>
    <w:p w14:paraId="51A042DC" w14:textId="77777777" w:rsidR="008215A0" w:rsidRDefault="008215A0" w:rsidP="008215A0">
      <w:pPr>
        <w:jc w:val="center"/>
        <w:rPr>
          <w:rFonts w:ascii="黑体" w:eastAsia="黑体" w:hAnsi="黑体"/>
          <w:sz w:val="32"/>
          <w:szCs w:val="32"/>
        </w:rPr>
      </w:pPr>
    </w:p>
    <w:p w14:paraId="0C31D6C7" w14:textId="77777777" w:rsidR="008215A0" w:rsidRDefault="008215A0" w:rsidP="008215A0">
      <w:pPr>
        <w:widowControl/>
        <w:jc w:val="left"/>
        <w:rPr>
          <w:rFonts w:ascii="黑体" w:eastAsia="黑体" w:hAnsi="黑体"/>
          <w:sz w:val="32"/>
          <w:szCs w:val="32"/>
        </w:rPr>
      </w:pPr>
      <w:r>
        <w:rPr>
          <w:rFonts w:ascii="黑体" w:eastAsia="黑体" w:hAnsi="黑体"/>
          <w:sz w:val="32"/>
          <w:szCs w:val="32"/>
        </w:rPr>
        <w:br w:type="page"/>
      </w:r>
    </w:p>
    <w:p w14:paraId="00544C82" w14:textId="77777777" w:rsidR="00461755" w:rsidRDefault="00461755">
      <w:pPr>
        <w:jc w:val="center"/>
        <w:rPr>
          <w:rFonts w:ascii="Times New Roman" w:eastAsia="方正小标宋简体" w:hAnsi="Times New Roman" w:cs="Times New Roman"/>
          <w:kern w:val="0"/>
          <w:sz w:val="44"/>
          <w:szCs w:val="44"/>
        </w:rPr>
      </w:pPr>
    </w:p>
    <w:p w14:paraId="3D07CB9A" w14:textId="77777777" w:rsidR="00461755" w:rsidRDefault="00B3769C">
      <w:pPr>
        <w:jc w:val="center"/>
        <w:rPr>
          <w:rFonts w:ascii="Times New Roman" w:eastAsia="方正小标宋简体" w:hAnsi="Times New Roman" w:cs="Times New Roman"/>
          <w:kern w:val="0"/>
          <w:sz w:val="44"/>
          <w:szCs w:val="44"/>
        </w:rPr>
      </w:pPr>
      <w:r>
        <w:rPr>
          <w:rFonts w:ascii="Times New Roman" w:eastAsia="方正小标宋简体" w:hAnsi="Times New Roman" w:cs="Times New Roman"/>
          <w:kern w:val="0"/>
          <w:sz w:val="44"/>
          <w:szCs w:val="44"/>
        </w:rPr>
        <w:t>第四部分</w:t>
      </w:r>
      <w:r>
        <w:rPr>
          <w:rFonts w:ascii="Times New Roman" w:eastAsia="方正小标宋简体" w:hAnsi="Times New Roman" w:cs="Times New Roman"/>
          <w:kern w:val="0"/>
          <w:sz w:val="44"/>
          <w:szCs w:val="44"/>
        </w:rPr>
        <w:t xml:space="preserve"> </w:t>
      </w:r>
      <w:r>
        <w:rPr>
          <w:rFonts w:ascii="Times New Roman" w:eastAsia="方正小标宋简体" w:hAnsi="Times New Roman" w:cs="Times New Roman"/>
          <w:kern w:val="0"/>
          <w:sz w:val="44"/>
          <w:szCs w:val="44"/>
        </w:rPr>
        <w:t>专业名词解释</w:t>
      </w:r>
    </w:p>
    <w:p w14:paraId="6F1AAB82" w14:textId="77777777" w:rsidR="00461755" w:rsidRDefault="00B3769C">
      <w:pPr>
        <w:ind w:firstLineChars="200" w:firstLine="640"/>
        <w:rPr>
          <w:rFonts w:ascii="Times New Roman" w:eastAsia="仿宋_GB2312" w:hAnsi="Times New Roman" w:cs="Times New Roman"/>
          <w:sz w:val="32"/>
          <w:szCs w:val="32"/>
        </w:rPr>
      </w:pPr>
      <w:r>
        <w:rPr>
          <w:rFonts w:ascii="Times New Roman" w:eastAsia="楷体" w:hAnsi="Times New Roman" w:cs="Times New Roman"/>
          <w:sz w:val="32"/>
          <w:szCs w:val="32"/>
        </w:rPr>
        <w:t>1.</w:t>
      </w:r>
      <w:r>
        <w:rPr>
          <w:rFonts w:ascii="Times New Roman" w:eastAsia="楷体" w:hAnsi="Times New Roman" w:cs="Times New Roman"/>
          <w:sz w:val="32"/>
          <w:szCs w:val="32"/>
        </w:rPr>
        <w:t>基本支出：</w:t>
      </w:r>
      <w:r>
        <w:rPr>
          <w:rFonts w:ascii="Times New Roman" w:eastAsia="仿宋_GB2312" w:hAnsi="Times New Roman" w:cs="Times New Roman"/>
          <w:sz w:val="32"/>
          <w:szCs w:val="32"/>
        </w:rPr>
        <w:t>指为保障机构正常运转、完成日常工作任务而发生的各项支出。</w:t>
      </w:r>
    </w:p>
    <w:p w14:paraId="6D329D46" w14:textId="77777777" w:rsidR="00461755" w:rsidRDefault="00B3769C">
      <w:pPr>
        <w:ind w:firstLineChars="200" w:firstLine="640"/>
        <w:rPr>
          <w:rFonts w:ascii="Times New Roman" w:eastAsia="仿宋_GB2312" w:hAnsi="Times New Roman" w:cs="Times New Roman"/>
          <w:sz w:val="32"/>
          <w:szCs w:val="32"/>
        </w:rPr>
      </w:pPr>
      <w:r>
        <w:rPr>
          <w:rFonts w:ascii="Times New Roman" w:eastAsia="楷体" w:hAnsi="Times New Roman" w:cs="Times New Roman"/>
          <w:sz w:val="32"/>
          <w:szCs w:val="32"/>
        </w:rPr>
        <w:t>2.</w:t>
      </w:r>
      <w:r>
        <w:rPr>
          <w:rFonts w:ascii="Times New Roman" w:eastAsia="楷体" w:hAnsi="Times New Roman" w:cs="Times New Roman"/>
          <w:sz w:val="32"/>
          <w:szCs w:val="32"/>
        </w:rPr>
        <w:t>项目支出：</w:t>
      </w:r>
      <w:r>
        <w:rPr>
          <w:rFonts w:ascii="Times New Roman" w:eastAsia="仿宋_GB2312" w:hAnsi="Times New Roman" w:cs="Times New Roman"/>
          <w:sz w:val="32"/>
          <w:szCs w:val="32"/>
        </w:rPr>
        <w:t>指单位为完成特定的行政工作任务或事业发展目标所发生的各项支出。</w:t>
      </w:r>
    </w:p>
    <w:p w14:paraId="49C87ACB" w14:textId="77777777" w:rsidR="00461755" w:rsidRDefault="00B3769C">
      <w:pPr>
        <w:ind w:firstLine="640"/>
        <w:rPr>
          <w:rFonts w:ascii="Times New Roman" w:eastAsia="仿宋_GB2312" w:hAnsi="Times New Roman" w:cs="Times New Roman"/>
          <w:sz w:val="32"/>
          <w:szCs w:val="32"/>
        </w:rPr>
      </w:pPr>
      <w:r>
        <w:rPr>
          <w:rFonts w:ascii="Times New Roman" w:eastAsia="楷体" w:hAnsi="Times New Roman" w:cs="Times New Roman"/>
          <w:sz w:val="32"/>
          <w:szCs w:val="32"/>
        </w:rPr>
        <w:t>3.“</w:t>
      </w:r>
      <w:r>
        <w:rPr>
          <w:rFonts w:ascii="Times New Roman" w:eastAsia="楷体" w:hAnsi="Times New Roman" w:cs="Times New Roman"/>
          <w:sz w:val="32"/>
          <w:szCs w:val="32"/>
        </w:rPr>
        <w:t>三公</w:t>
      </w:r>
      <w:r>
        <w:rPr>
          <w:rFonts w:ascii="Times New Roman" w:eastAsia="楷体" w:hAnsi="Times New Roman" w:cs="Times New Roman"/>
          <w:sz w:val="32"/>
          <w:szCs w:val="32"/>
        </w:rPr>
        <w:t>”</w:t>
      </w:r>
      <w:r>
        <w:rPr>
          <w:rFonts w:ascii="Times New Roman" w:eastAsia="楷体" w:hAnsi="Times New Roman" w:cs="Times New Roman"/>
          <w:sz w:val="32"/>
          <w:szCs w:val="32"/>
        </w:rPr>
        <w:t>经费：</w:t>
      </w:r>
      <w:r>
        <w:rPr>
          <w:rFonts w:ascii="Times New Roman" w:eastAsia="仿宋_GB2312" w:hAnsi="Times New Roman" w:cs="Times New Roman"/>
          <w:sz w:val="32"/>
          <w:szCs w:val="32"/>
        </w:rPr>
        <w:t>指部门使用财政拨款安排的因公出国（境）费、公务用车购置及运行费和公务接待费支出。</w:t>
      </w:r>
    </w:p>
    <w:p w14:paraId="2B1B9B09" w14:textId="77777777" w:rsidR="00461755" w:rsidRDefault="00B3769C">
      <w:pPr>
        <w:ind w:firstLine="640"/>
        <w:rPr>
          <w:rFonts w:ascii="Times New Roman" w:eastAsia="仿宋_GB2312" w:hAnsi="Times New Roman" w:cs="Times New Roman"/>
          <w:sz w:val="32"/>
          <w:szCs w:val="32"/>
        </w:rPr>
      </w:pPr>
      <w:r>
        <w:rPr>
          <w:rFonts w:ascii="Times New Roman" w:eastAsia="楷体" w:hAnsi="Times New Roman" w:cs="Times New Roman"/>
          <w:sz w:val="32"/>
          <w:szCs w:val="32"/>
        </w:rPr>
        <w:t>4</w:t>
      </w:r>
      <w:r>
        <w:rPr>
          <w:rFonts w:ascii="Times New Roman" w:eastAsia="楷体" w:hAnsi="Times New Roman" w:cs="Times New Roman"/>
          <w:sz w:val="32"/>
          <w:szCs w:val="32"/>
          <w:lang w:val="en"/>
        </w:rPr>
        <w:t>.</w:t>
      </w:r>
      <w:r>
        <w:rPr>
          <w:rFonts w:ascii="Times New Roman" w:eastAsia="楷体" w:hAnsi="Times New Roman" w:cs="Times New Roman"/>
          <w:sz w:val="32"/>
          <w:szCs w:val="32"/>
        </w:rPr>
        <w:t>财政拨款收入：</w:t>
      </w:r>
      <w:r>
        <w:rPr>
          <w:rFonts w:ascii="Times New Roman" w:eastAsia="仿宋_GB2312" w:hAnsi="Times New Roman" w:cs="Times New Roman"/>
          <w:sz w:val="32"/>
          <w:szCs w:val="32"/>
        </w:rPr>
        <w:t>指本级财政当年拨付的资金。</w:t>
      </w:r>
    </w:p>
    <w:p w14:paraId="5D176137" w14:textId="77777777" w:rsidR="00461755" w:rsidRDefault="00B3769C">
      <w:pPr>
        <w:ind w:firstLine="640"/>
        <w:rPr>
          <w:rFonts w:ascii="Times New Roman" w:eastAsia="仿宋_GB2312" w:hAnsi="Times New Roman" w:cs="Times New Roman"/>
          <w:sz w:val="32"/>
          <w:szCs w:val="32"/>
        </w:rPr>
      </w:pPr>
      <w:r>
        <w:rPr>
          <w:rFonts w:ascii="Times New Roman" w:eastAsia="楷体" w:hAnsi="Times New Roman" w:cs="Times New Roman"/>
          <w:sz w:val="32"/>
          <w:szCs w:val="32"/>
        </w:rPr>
        <w:t>5.</w:t>
      </w:r>
      <w:r>
        <w:rPr>
          <w:rFonts w:ascii="Times New Roman" w:eastAsia="楷体" w:hAnsi="Times New Roman" w:cs="Times New Roman"/>
          <w:sz w:val="32"/>
          <w:szCs w:val="32"/>
        </w:rPr>
        <w:t>公用经费：</w:t>
      </w:r>
      <w:r>
        <w:rPr>
          <w:rFonts w:ascii="Times New Roman" w:eastAsia="仿宋_GB2312" w:hAnsi="Times New Roman" w:cs="Times New Roman"/>
          <w:sz w:val="32"/>
          <w:szCs w:val="32"/>
        </w:rPr>
        <w:t>指为完成特定的行政工作任务或事业发展目标用于设备设施的维持性费用支出，以及直接用于公务活动的支出，具体包括公务费、业务费、修缮费、设备购置费、其他费用等。</w:t>
      </w:r>
    </w:p>
    <w:p w14:paraId="64F9569E" w14:textId="77777777" w:rsidR="00461755" w:rsidRDefault="00B3769C">
      <w:pPr>
        <w:ind w:firstLine="640"/>
        <w:rPr>
          <w:rFonts w:ascii="Times New Roman" w:eastAsia="仿宋_GB2312" w:hAnsi="Times New Roman" w:cs="Times New Roman"/>
          <w:sz w:val="32"/>
          <w:szCs w:val="32"/>
        </w:rPr>
      </w:pPr>
      <w:r>
        <w:rPr>
          <w:rFonts w:ascii="Times New Roman" w:eastAsia="楷体" w:hAnsi="Times New Roman" w:cs="Times New Roman"/>
          <w:sz w:val="32"/>
          <w:szCs w:val="32"/>
        </w:rPr>
        <w:t>6</w:t>
      </w:r>
      <w:r>
        <w:rPr>
          <w:rFonts w:ascii="Times New Roman" w:eastAsia="楷体" w:hAnsi="Times New Roman" w:cs="Times New Roman"/>
          <w:sz w:val="32"/>
          <w:szCs w:val="32"/>
          <w:lang w:val="en"/>
        </w:rPr>
        <w:t>.</w:t>
      </w:r>
      <w:r>
        <w:rPr>
          <w:rFonts w:ascii="Times New Roman" w:eastAsia="楷体" w:hAnsi="Times New Roman" w:cs="Times New Roman"/>
          <w:sz w:val="32"/>
          <w:szCs w:val="32"/>
        </w:rPr>
        <w:t>工资福利支出：</w:t>
      </w:r>
      <w:r>
        <w:rPr>
          <w:rFonts w:ascii="Times New Roman" w:eastAsia="仿宋_GB2312" w:hAnsi="Times New Roman" w:cs="Times New Roman"/>
          <w:sz w:val="32"/>
          <w:szCs w:val="32"/>
        </w:rPr>
        <w:t>反映开支的在职职工和编制外长期聘用人员的各类劳动报酬，以及上述人员缴纳的各项社会保险费等。</w:t>
      </w:r>
    </w:p>
    <w:p w14:paraId="4C7CCADB" w14:textId="77777777" w:rsidR="00461755" w:rsidRDefault="00B3769C">
      <w:pPr>
        <w:ind w:firstLine="640"/>
        <w:rPr>
          <w:rFonts w:ascii="Times New Roman" w:eastAsia="仿宋_GB2312" w:hAnsi="Times New Roman" w:cs="Times New Roman"/>
          <w:sz w:val="32"/>
          <w:szCs w:val="32"/>
        </w:rPr>
      </w:pPr>
      <w:r>
        <w:rPr>
          <w:rFonts w:ascii="Times New Roman" w:eastAsia="楷体" w:hAnsi="Times New Roman" w:cs="Times New Roman"/>
          <w:sz w:val="32"/>
          <w:szCs w:val="32"/>
        </w:rPr>
        <w:t>7</w:t>
      </w:r>
      <w:r>
        <w:rPr>
          <w:rFonts w:ascii="Times New Roman" w:eastAsia="楷体" w:hAnsi="Times New Roman" w:cs="Times New Roman"/>
          <w:sz w:val="32"/>
          <w:szCs w:val="32"/>
          <w:lang w:val="en"/>
        </w:rPr>
        <w:t>.</w:t>
      </w:r>
      <w:r>
        <w:rPr>
          <w:rFonts w:ascii="Times New Roman" w:eastAsia="楷体" w:hAnsi="Times New Roman" w:cs="Times New Roman"/>
          <w:sz w:val="32"/>
          <w:szCs w:val="32"/>
        </w:rPr>
        <w:t>结转资金</w:t>
      </w:r>
      <w:r>
        <w:rPr>
          <w:rFonts w:ascii="Times New Roman" w:eastAsia="仿宋_GB2312" w:hAnsi="Times New Roman" w:cs="Times New Roman"/>
          <w:sz w:val="32"/>
          <w:szCs w:val="32"/>
        </w:rPr>
        <w:t>：即当年预算已执行但未完成，或者因故未执行，下一年度需要按原用途继续使用的资金。</w:t>
      </w:r>
    </w:p>
    <w:p w14:paraId="6A7F1D21" w14:textId="77777777" w:rsidR="00461755" w:rsidRDefault="00B3769C">
      <w:pPr>
        <w:ind w:firstLine="640"/>
        <w:rPr>
          <w:rFonts w:ascii="Times New Roman" w:eastAsia="仿宋_GB2312" w:hAnsi="Times New Roman" w:cs="Times New Roman"/>
          <w:sz w:val="32"/>
          <w:szCs w:val="32"/>
        </w:rPr>
      </w:pPr>
      <w:r>
        <w:rPr>
          <w:rFonts w:ascii="Times New Roman" w:eastAsia="楷体" w:hAnsi="Times New Roman" w:cs="Times New Roman"/>
          <w:sz w:val="32"/>
          <w:szCs w:val="32"/>
        </w:rPr>
        <w:t>8</w:t>
      </w:r>
      <w:r>
        <w:rPr>
          <w:rFonts w:ascii="Times New Roman" w:eastAsia="楷体" w:hAnsi="Times New Roman" w:cs="Times New Roman"/>
          <w:sz w:val="32"/>
          <w:szCs w:val="32"/>
          <w:lang w:val="en"/>
        </w:rPr>
        <w:t>.</w:t>
      </w:r>
      <w:r>
        <w:rPr>
          <w:rFonts w:ascii="Times New Roman" w:eastAsia="楷体" w:hAnsi="Times New Roman" w:cs="Times New Roman"/>
          <w:sz w:val="32"/>
          <w:szCs w:val="32"/>
        </w:rPr>
        <w:t>结余资金</w:t>
      </w:r>
      <w:r>
        <w:rPr>
          <w:rFonts w:ascii="Times New Roman" w:eastAsia="仿宋_GB2312" w:hAnsi="Times New Roman" w:cs="Times New Roman"/>
          <w:sz w:val="32"/>
          <w:szCs w:val="32"/>
        </w:rPr>
        <w:t>：即当年预算工作目标已完成，或者因故终止，当年剩余的资金。</w:t>
      </w:r>
    </w:p>
    <w:p w14:paraId="298D7892" w14:textId="77777777" w:rsidR="00461755" w:rsidRDefault="00B3769C">
      <w:pPr>
        <w:widowControl/>
        <w:jc w:val="left"/>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br w:type="page"/>
      </w:r>
    </w:p>
    <w:p w14:paraId="33573D00" w14:textId="77777777" w:rsidR="00461755" w:rsidRDefault="00461755">
      <w:pPr>
        <w:autoSpaceDE w:val="0"/>
        <w:autoSpaceDN w:val="0"/>
        <w:snapToGrid w:val="0"/>
        <w:ind w:firstLineChars="200" w:firstLine="640"/>
        <w:rPr>
          <w:rFonts w:ascii="Times New Roman" w:eastAsia="方正仿宋_GBK" w:hAnsi="Times New Roman" w:cs="Times New Roman"/>
          <w:kern w:val="0"/>
          <w:sz w:val="32"/>
          <w:szCs w:val="32"/>
        </w:rPr>
      </w:pPr>
    </w:p>
    <w:p w14:paraId="34CBF92D" w14:textId="77777777" w:rsidR="00461755" w:rsidRDefault="00B3769C">
      <w:pPr>
        <w:jc w:val="center"/>
        <w:rPr>
          <w:rFonts w:ascii="楷体" w:eastAsia="楷体" w:hAnsi="楷体" w:cs="楷体"/>
          <w:iCs/>
          <w:kern w:val="0"/>
          <w:sz w:val="32"/>
          <w:szCs w:val="32"/>
          <w:highlight w:val="cyan"/>
        </w:rPr>
      </w:pPr>
      <w:r>
        <w:rPr>
          <w:rFonts w:ascii="方正小标宋简体" w:eastAsia="方正小标宋简体" w:hAnsi="方正小标宋简体" w:cs="方正小标宋简体" w:hint="eastAsia"/>
          <w:kern w:val="0"/>
          <w:sz w:val="44"/>
          <w:szCs w:val="44"/>
        </w:rPr>
        <w:t>第五部分 附  件</w:t>
      </w:r>
    </w:p>
    <w:p w14:paraId="1022F477" w14:textId="77777777" w:rsidR="00461755" w:rsidRDefault="00B3769C">
      <w:pPr>
        <w:rPr>
          <w:rFonts w:ascii="黑体" w:eastAsia="黑体" w:hAnsi="黑体" w:cs="楷体_GB2312"/>
          <w:bCs/>
          <w:kern w:val="0"/>
          <w:sz w:val="32"/>
          <w:szCs w:val="32"/>
        </w:rPr>
      </w:pPr>
      <w:r>
        <w:rPr>
          <w:rFonts w:ascii="黑体" w:eastAsia="黑体" w:hAnsi="黑体" w:cs="仿宋_GB2312" w:hint="eastAsia"/>
          <w:sz w:val="32"/>
          <w:szCs w:val="32"/>
        </w:rPr>
        <w:t>一、</w:t>
      </w:r>
      <w:r>
        <w:rPr>
          <w:rFonts w:ascii="黑体" w:eastAsia="黑体" w:hAnsi="黑体" w:cs="楷体_GB2312" w:hint="eastAsia"/>
          <w:bCs/>
          <w:kern w:val="0"/>
          <w:sz w:val="32"/>
          <w:szCs w:val="32"/>
        </w:rPr>
        <w:t>财政重点评价项目绩效评价结果：</w:t>
      </w:r>
    </w:p>
    <w:p w14:paraId="280926CA" w14:textId="77777777" w:rsidR="00461755" w:rsidRDefault="00B3769C">
      <w:pPr>
        <w:widowControl/>
        <w:jc w:val="center"/>
        <w:rPr>
          <w:rFonts w:ascii="Times New Roman" w:eastAsia="仿宋_GB2312" w:hAnsi="Times New Roman" w:cs="Times New Roman"/>
          <w:sz w:val="32"/>
          <w:szCs w:val="32"/>
        </w:rPr>
      </w:pPr>
      <w:r>
        <w:rPr>
          <w:rFonts w:ascii="Times New Roman" w:eastAsia="方正小标宋_GBK" w:hAnsi="Times New Roman" w:cs="Times New Roman" w:hint="eastAsia"/>
          <w:sz w:val="32"/>
          <w:szCs w:val="32"/>
        </w:rPr>
        <w:t>《</w:t>
      </w:r>
      <w:r>
        <w:rPr>
          <w:rFonts w:ascii="Times New Roman" w:eastAsia="方正小标宋_GBK" w:hAnsi="Times New Roman" w:cs="Times New Roman"/>
          <w:sz w:val="32"/>
          <w:szCs w:val="32"/>
        </w:rPr>
        <w:t>2023</w:t>
      </w:r>
      <w:r>
        <w:rPr>
          <w:rFonts w:ascii="方正小标宋_GBK" w:eastAsia="方正小标宋_GBK" w:hAnsi="方正小标宋_GBK" w:cs="方正小标宋_GBK"/>
          <w:sz w:val="32"/>
          <w:szCs w:val="32"/>
        </w:rPr>
        <w:t>年</w:t>
      </w:r>
      <w:r>
        <w:rPr>
          <w:rFonts w:ascii="方正小标宋_GBK" w:eastAsia="方正小标宋_GBK" w:hAnsi="方正小标宋_GBK" w:cs="方正小标宋_GBK" w:hint="eastAsia"/>
          <w:sz w:val="32"/>
          <w:szCs w:val="32"/>
        </w:rPr>
        <w:t>市级</w:t>
      </w:r>
      <w:r>
        <w:rPr>
          <w:rFonts w:ascii="方正小标宋_GBK" w:eastAsia="方正小标宋_GBK" w:hAnsi="方正小标宋_GBK" w:cs="方正小标宋_GBK"/>
          <w:sz w:val="32"/>
          <w:szCs w:val="32"/>
        </w:rPr>
        <w:t>重大项目前期费项目绩效评价</w:t>
      </w:r>
      <w:r>
        <w:rPr>
          <w:rFonts w:ascii="方正小标宋_GBK" w:eastAsia="方正小标宋_GBK" w:hAnsi="方正小标宋_GBK" w:cs="方正小标宋_GBK" w:hint="eastAsia"/>
          <w:sz w:val="32"/>
          <w:szCs w:val="32"/>
        </w:rPr>
        <w:t>报告</w:t>
      </w:r>
      <w:r>
        <w:rPr>
          <w:rFonts w:ascii="Times New Roman" w:eastAsia="方正小标宋_GBK" w:hAnsi="Times New Roman" w:cs="Times New Roman" w:hint="eastAsia"/>
          <w:sz w:val="32"/>
          <w:szCs w:val="32"/>
        </w:rPr>
        <w:t>》</w:t>
      </w:r>
    </w:p>
    <w:p w14:paraId="0221D7A6" w14:textId="77777777" w:rsidR="00461755" w:rsidRDefault="00B3769C">
      <w:pPr>
        <w:spacing w:line="560" w:lineRule="exact"/>
        <w:ind w:firstLineChars="200" w:firstLine="640"/>
        <w:outlineLvl w:val="0"/>
        <w:rPr>
          <w:rFonts w:ascii="黑体" w:eastAsia="黑体" w:hAnsi="黑体"/>
          <w:sz w:val="32"/>
          <w:szCs w:val="32"/>
        </w:rPr>
      </w:pPr>
      <w:r>
        <w:rPr>
          <w:rFonts w:ascii="黑体" w:eastAsia="黑体" w:hAnsi="黑体"/>
          <w:sz w:val="32"/>
          <w:szCs w:val="32"/>
        </w:rPr>
        <w:t>一、基本情况</w:t>
      </w:r>
    </w:p>
    <w:p w14:paraId="675A9A9F" w14:textId="77777777" w:rsidR="00461755" w:rsidRDefault="00B3769C">
      <w:pPr>
        <w:widowControl/>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根据</w:t>
      </w:r>
      <w:r>
        <w:rPr>
          <w:rFonts w:ascii="Times New Roman" w:eastAsia="仿宋_GB2312" w:hAnsi="Times New Roman" w:cs="Times New Roman" w:hint="eastAsia"/>
          <w:sz w:val="32"/>
          <w:szCs w:val="32"/>
        </w:rPr>
        <w:t>汉中</w:t>
      </w:r>
      <w:r>
        <w:rPr>
          <w:rFonts w:ascii="Times New Roman" w:eastAsia="仿宋_GB2312" w:hAnsi="Times New Roman" w:cs="Times New Roman"/>
          <w:sz w:val="32"/>
          <w:szCs w:val="32"/>
        </w:rPr>
        <w:t>市国民经济和社会发展战略、规划，</w:t>
      </w:r>
      <w:r>
        <w:rPr>
          <w:rFonts w:ascii="Times New Roman" w:eastAsia="仿宋_GB2312" w:hAnsi="Times New Roman" w:cs="Times New Roman" w:hint="eastAsia"/>
          <w:sz w:val="32"/>
          <w:szCs w:val="32"/>
        </w:rPr>
        <w:t>市级</w:t>
      </w:r>
      <w:r>
        <w:rPr>
          <w:rFonts w:ascii="Times New Roman" w:eastAsia="仿宋_GB2312" w:hAnsi="Times New Roman" w:cs="Times New Roman"/>
          <w:sz w:val="32"/>
          <w:szCs w:val="32"/>
        </w:rPr>
        <w:t>重大项目前期工作经费</w:t>
      </w:r>
      <w:r>
        <w:rPr>
          <w:rFonts w:ascii="Times New Roman" w:eastAsia="仿宋_GB2312" w:hAnsi="Times New Roman" w:cs="Times New Roman" w:hint="eastAsia"/>
          <w:sz w:val="32"/>
          <w:szCs w:val="32"/>
        </w:rPr>
        <w:t>（以下简称“重大项目前期费”）</w:t>
      </w:r>
      <w:r>
        <w:rPr>
          <w:rFonts w:ascii="Times New Roman" w:eastAsia="仿宋_GB2312" w:hAnsi="Times New Roman" w:cs="Times New Roman"/>
          <w:sz w:val="32"/>
          <w:szCs w:val="32"/>
        </w:rPr>
        <w:t>主要用于投资规模较大的重点建设项目。</w:t>
      </w:r>
      <w:r>
        <w:rPr>
          <w:rFonts w:ascii="Times New Roman" w:eastAsia="仿宋_GB2312" w:hAnsi="Times New Roman" w:cs="Times New Roman" w:hint="eastAsia"/>
          <w:sz w:val="32"/>
          <w:szCs w:val="32"/>
        </w:rPr>
        <w:t>汉中市发改委负责拟订并组织实施全市国民经济和社会发展战略、中长期规划和年度计划；指导推进和综合协调全市经济体制改革；承担规划重大建设项目和生产力布局的责任；参与安排市级预算内投资计划；负责权限内固定资产投资项目的审批、审核以及项目节能评估和审查；配合开展重大建设项目稽察工作；参与全市对外招商项目推介；指导和推动企业直接融资；推进实施可持续发展战略；组织实施国民经济动员有关工作；负责全市重点项目建设管理工作，对目标计划完成情况进行考核；检查、督促、指导市重点项目的建设，跟踪市重点项目建设实施情况，协调市重点项目实施过程中的有关问题。</w:t>
      </w:r>
    </w:p>
    <w:p w14:paraId="19EAC31F" w14:textId="77777777" w:rsidR="00461755" w:rsidRDefault="00B3769C">
      <w:pPr>
        <w:widowControl/>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重大项目</w:t>
      </w:r>
      <w:r>
        <w:rPr>
          <w:rFonts w:ascii="Times New Roman" w:eastAsia="仿宋_GB2312" w:hAnsi="Times New Roman" w:cs="Times New Roman"/>
          <w:sz w:val="32"/>
          <w:szCs w:val="32"/>
        </w:rPr>
        <w:t>前期费主要用于重大项目方案规划、预可行性研究、项目建议书和可行性研究的编制、审查、论证、报批等前期工作；用于重大专题研究、重大专项规划编制研究、</w:t>
      </w:r>
      <w:r>
        <w:rPr>
          <w:rFonts w:ascii="Times New Roman" w:eastAsia="仿宋_GB2312" w:hAnsi="Times New Roman" w:cs="Times New Roman" w:hint="eastAsia"/>
          <w:sz w:val="32"/>
          <w:szCs w:val="32"/>
        </w:rPr>
        <w:lastRenderedPageBreak/>
        <w:t>项目策划储备费用；为市级重大项目前期工作服务的相关管理工作费用等。</w:t>
      </w:r>
    </w:p>
    <w:p w14:paraId="5E4C4251" w14:textId="77777777" w:rsidR="00461755" w:rsidRDefault="00B3769C">
      <w:pPr>
        <w:widowControl/>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按照《汉中市发改委</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汉中市财政局关于下达</w:t>
      </w:r>
      <w:r>
        <w:rPr>
          <w:rFonts w:ascii="Times New Roman" w:eastAsia="仿宋_GB2312" w:hAnsi="Times New Roman" w:cs="Times New Roman" w:hint="eastAsia"/>
          <w:sz w:val="32"/>
          <w:szCs w:val="32"/>
        </w:rPr>
        <w:t>2023</w:t>
      </w:r>
      <w:r>
        <w:rPr>
          <w:rFonts w:ascii="Times New Roman" w:eastAsia="仿宋_GB2312" w:hAnsi="Times New Roman" w:cs="Times New Roman" w:hint="eastAsia"/>
          <w:sz w:val="32"/>
          <w:szCs w:val="32"/>
        </w:rPr>
        <w:t>年市级重大项目前期费投资计划的通知》（汉发改项目〔</w:t>
      </w:r>
      <w:r>
        <w:rPr>
          <w:rFonts w:ascii="Times New Roman" w:eastAsia="仿宋_GB2312" w:hAnsi="Times New Roman" w:cs="Times New Roman" w:hint="eastAsia"/>
          <w:sz w:val="32"/>
          <w:szCs w:val="32"/>
        </w:rPr>
        <w:t>2023</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479</w:t>
      </w:r>
      <w:r>
        <w:rPr>
          <w:rFonts w:ascii="Times New Roman" w:eastAsia="仿宋_GB2312" w:hAnsi="Times New Roman" w:cs="Times New Roman" w:hint="eastAsia"/>
          <w:sz w:val="32"/>
          <w:szCs w:val="32"/>
        </w:rPr>
        <w:t>号），</w:t>
      </w:r>
      <w:r>
        <w:rPr>
          <w:rFonts w:ascii="Times New Roman" w:eastAsia="仿宋_GB2312" w:hAnsi="Times New Roman" w:cs="Times New Roman" w:hint="eastAsia"/>
          <w:sz w:val="32"/>
          <w:szCs w:val="32"/>
        </w:rPr>
        <w:t>2023</w:t>
      </w:r>
      <w:r>
        <w:rPr>
          <w:rFonts w:ascii="Times New Roman" w:eastAsia="仿宋_GB2312" w:hAnsi="Times New Roman" w:cs="Times New Roman" w:hint="eastAsia"/>
          <w:sz w:val="32"/>
          <w:szCs w:val="32"/>
        </w:rPr>
        <w:t>年下达市级重大项目前期费</w:t>
      </w:r>
      <w:r>
        <w:rPr>
          <w:rFonts w:ascii="Times New Roman" w:eastAsia="仿宋_GB2312" w:hAnsi="Times New Roman" w:cs="Times New Roman" w:hint="eastAsia"/>
          <w:sz w:val="32"/>
          <w:szCs w:val="32"/>
        </w:rPr>
        <w:t>1182.5</w:t>
      </w:r>
      <w:r>
        <w:rPr>
          <w:rFonts w:ascii="Times New Roman" w:eastAsia="仿宋_GB2312" w:hAnsi="Times New Roman" w:cs="Times New Roman" w:hint="eastAsia"/>
          <w:sz w:val="32"/>
          <w:szCs w:val="32"/>
        </w:rPr>
        <w:t>万元，用于推进重大项目前期谋划储备、重大课题研究等工作。</w:t>
      </w:r>
    </w:p>
    <w:p w14:paraId="2E991743" w14:textId="77777777" w:rsidR="00461755" w:rsidRDefault="00B3769C">
      <w:pPr>
        <w:widowControl/>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2023</w:t>
      </w:r>
      <w:r>
        <w:rPr>
          <w:rFonts w:ascii="Times New Roman" w:eastAsia="仿宋_GB2312" w:hAnsi="Times New Roman" w:cs="Times New Roman" w:hint="eastAsia"/>
          <w:sz w:val="32"/>
          <w:szCs w:val="32"/>
        </w:rPr>
        <w:t>年市级重大项目前期费主要用于支持市发改委、市工信委、市城管局、市投控集团</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个市级部门和</w:t>
      </w:r>
      <w:r>
        <w:rPr>
          <w:rFonts w:ascii="Times New Roman" w:eastAsia="仿宋_GB2312" w:hAnsi="Times New Roman" w:cs="Times New Roman" w:hint="eastAsia"/>
          <w:sz w:val="32"/>
          <w:szCs w:val="32"/>
        </w:rPr>
        <w:t>11</w:t>
      </w:r>
      <w:r>
        <w:rPr>
          <w:rFonts w:ascii="Times New Roman" w:eastAsia="仿宋_GB2312" w:hAnsi="Times New Roman" w:cs="Times New Roman" w:hint="eastAsia"/>
          <w:sz w:val="32"/>
          <w:szCs w:val="32"/>
        </w:rPr>
        <w:t>个县区发改局筹备谋划</w:t>
      </w:r>
      <w:r>
        <w:rPr>
          <w:rFonts w:ascii="Times New Roman" w:eastAsia="仿宋_GB2312" w:hAnsi="Times New Roman" w:cs="Times New Roman" w:hint="eastAsia"/>
          <w:sz w:val="32"/>
          <w:szCs w:val="32"/>
        </w:rPr>
        <w:t>34</w:t>
      </w:r>
      <w:r>
        <w:rPr>
          <w:rFonts w:ascii="Times New Roman" w:eastAsia="仿宋_GB2312" w:hAnsi="Times New Roman" w:cs="Times New Roman" w:hint="eastAsia"/>
          <w:sz w:val="32"/>
          <w:szCs w:val="32"/>
        </w:rPr>
        <w:t>个重大项目。截至</w:t>
      </w:r>
      <w:r>
        <w:rPr>
          <w:rFonts w:ascii="Times New Roman" w:eastAsia="仿宋_GB2312" w:hAnsi="Times New Roman" w:cs="Times New Roman" w:hint="eastAsia"/>
          <w:sz w:val="32"/>
          <w:szCs w:val="32"/>
        </w:rPr>
        <w:t>2023</w:t>
      </w:r>
      <w:r>
        <w:rPr>
          <w:rFonts w:ascii="Times New Roman" w:eastAsia="仿宋_GB2312" w:hAnsi="Times New Roman" w:cs="Times New Roman" w:hint="eastAsia"/>
          <w:sz w:val="32"/>
          <w:szCs w:val="32"/>
        </w:rPr>
        <w:t>年</w:t>
      </w:r>
      <w:r>
        <w:rPr>
          <w:rFonts w:ascii="Times New Roman" w:eastAsia="仿宋_GB2312" w:hAnsi="Times New Roman" w:cs="Times New Roman" w:hint="eastAsia"/>
          <w:sz w:val="32"/>
          <w:szCs w:val="32"/>
        </w:rPr>
        <w:t>12</w:t>
      </w:r>
      <w:r>
        <w:rPr>
          <w:rFonts w:ascii="Times New Roman" w:eastAsia="仿宋_GB2312" w:hAnsi="Times New Roman" w:cs="Times New Roman" w:hint="eastAsia"/>
          <w:sz w:val="32"/>
          <w:szCs w:val="32"/>
        </w:rPr>
        <w:t>月</w:t>
      </w:r>
      <w:r>
        <w:rPr>
          <w:rFonts w:ascii="Times New Roman" w:eastAsia="仿宋_GB2312" w:hAnsi="Times New Roman" w:cs="Times New Roman" w:hint="eastAsia"/>
          <w:sz w:val="32"/>
          <w:szCs w:val="32"/>
        </w:rPr>
        <w:t>31</w:t>
      </w:r>
      <w:r>
        <w:rPr>
          <w:rFonts w:ascii="Times New Roman" w:eastAsia="仿宋_GB2312" w:hAnsi="Times New Roman" w:cs="Times New Roman" w:hint="eastAsia"/>
          <w:sz w:val="32"/>
          <w:szCs w:val="32"/>
        </w:rPr>
        <w:t>日，市级重大项目前期费支出</w:t>
      </w:r>
      <w:r>
        <w:rPr>
          <w:rFonts w:ascii="Times New Roman" w:eastAsia="仿宋_GB2312" w:hAnsi="Times New Roman" w:cs="Times New Roman" w:hint="eastAsia"/>
          <w:sz w:val="32"/>
          <w:szCs w:val="32"/>
        </w:rPr>
        <w:t>624.47</w:t>
      </w:r>
      <w:r>
        <w:rPr>
          <w:rFonts w:ascii="Times New Roman" w:eastAsia="仿宋_GB2312" w:hAnsi="Times New Roman" w:cs="Times New Roman" w:hint="eastAsia"/>
          <w:sz w:val="32"/>
          <w:szCs w:val="32"/>
        </w:rPr>
        <w:t>万元。</w:t>
      </w:r>
    </w:p>
    <w:p w14:paraId="421E2627" w14:textId="77777777" w:rsidR="00461755" w:rsidRDefault="00B3769C">
      <w:pPr>
        <w:spacing w:line="560" w:lineRule="exact"/>
        <w:ind w:firstLineChars="200" w:firstLine="640"/>
        <w:outlineLvl w:val="0"/>
        <w:rPr>
          <w:rFonts w:ascii="Times New Roman" w:eastAsia="黑体" w:hAnsi="Times New Roman" w:cs="Times New Roman"/>
          <w:sz w:val="32"/>
          <w:szCs w:val="32"/>
        </w:rPr>
      </w:pPr>
      <w:r>
        <w:rPr>
          <w:rFonts w:ascii="Times New Roman" w:eastAsia="黑体" w:hAnsi="Times New Roman" w:cs="Times New Roman" w:hint="eastAsia"/>
          <w:sz w:val="32"/>
          <w:szCs w:val="32"/>
        </w:rPr>
        <w:t>二</w:t>
      </w:r>
      <w:r>
        <w:rPr>
          <w:rFonts w:ascii="Times New Roman" w:eastAsia="黑体" w:hAnsi="Times New Roman" w:cs="Times New Roman"/>
          <w:sz w:val="32"/>
          <w:szCs w:val="32"/>
        </w:rPr>
        <w:t>、综合评价情况及评价结论</w:t>
      </w:r>
    </w:p>
    <w:p w14:paraId="19AA8495" w14:textId="77777777" w:rsidR="00461755" w:rsidRDefault="00B3769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2023年市级重大项目前期费绩效评价综合得分56.08 </w:t>
      </w:r>
      <w:r>
        <w:rPr>
          <w:rFonts w:ascii="仿宋_GB2312" w:eastAsia="仿宋_GB2312" w:hAnsi="仿宋_GB2312" w:cs="仿宋_GB2312" w:hint="eastAsia"/>
          <w:sz w:val="32"/>
          <w:szCs w:val="32"/>
          <w:lang w:eastAsia="zh-Hans"/>
        </w:rPr>
        <w:t>分，</w:t>
      </w:r>
      <w:r>
        <w:rPr>
          <w:rFonts w:ascii="仿宋_GB2312" w:eastAsia="仿宋_GB2312" w:hAnsi="仿宋_GB2312" w:cs="仿宋_GB2312" w:hint="eastAsia"/>
          <w:sz w:val="32"/>
          <w:szCs w:val="32"/>
        </w:rPr>
        <w:t>评价</w:t>
      </w:r>
      <w:r>
        <w:rPr>
          <w:rFonts w:ascii="仿宋_GB2312" w:eastAsia="仿宋_GB2312" w:hAnsi="仿宋_GB2312" w:cs="仿宋_GB2312" w:hint="eastAsia"/>
          <w:sz w:val="32"/>
          <w:szCs w:val="32"/>
          <w:lang w:eastAsia="zh-Hans"/>
        </w:rPr>
        <w:t>结果</w:t>
      </w:r>
      <w:r>
        <w:rPr>
          <w:rFonts w:ascii="仿宋_GB2312" w:eastAsia="仿宋_GB2312" w:hAnsi="仿宋_GB2312" w:cs="仿宋_GB2312" w:hint="eastAsia"/>
          <w:sz w:val="32"/>
          <w:szCs w:val="32"/>
        </w:rPr>
        <w:t>等级</w:t>
      </w:r>
      <w:r>
        <w:rPr>
          <w:rFonts w:ascii="仿宋_GB2312" w:eastAsia="仿宋_GB2312" w:hAnsi="仿宋_GB2312" w:cs="仿宋_GB2312" w:hint="eastAsia"/>
          <w:sz w:val="32"/>
          <w:szCs w:val="32"/>
          <w:lang w:eastAsia="zh-Hans"/>
        </w:rPr>
        <w:t>为</w:t>
      </w:r>
      <w:r>
        <w:rPr>
          <w:rFonts w:ascii="仿宋_GB2312" w:eastAsia="仿宋_GB2312" w:hAnsi="仿宋_GB2312" w:cs="仿宋_GB2312" w:hint="eastAsia"/>
          <w:sz w:val="32"/>
          <w:szCs w:val="32"/>
        </w:rPr>
        <w:t>“差”。该项目立项依据充分，资金下达及时，大部分项目单位及时完成了前期编制工作，较好地发挥了资金使用效益，加快了项目落地见效。但也存在市发改委对本次绩效评价工作不重视不支持，部分县区发改局谋划和储备项目不及时、资金全部结余未形成实际支出，市工信委和部分县区发改局前期费使用不合规等问题。</w:t>
      </w:r>
    </w:p>
    <w:p w14:paraId="3DACF683" w14:textId="77777777" w:rsidR="00461755" w:rsidRDefault="00B3769C">
      <w:pPr>
        <w:spacing w:line="560" w:lineRule="exact"/>
        <w:jc w:val="center"/>
        <w:rPr>
          <w:rFonts w:ascii="Times New Roman" w:eastAsia="仿宋_GB2312" w:hAnsi="Times New Roman" w:cs="Times New Roman"/>
          <w:b/>
          <w:bCs/>
          <w:sz w:val="28"/>
          <w:szCs w:val="28"/>
        </w:rPr>
      </w:pPr>
      <w:r>
        <w:rPr>
          <w:rFonts w:ascii="Times New Roman" w:eastAsia="仿宋_GB2312" w:hAnsi="Times New Roman" w:cs="Times New Roman" w:hint="eastAsia"/>
          <w:b/>
          <w:bCs/>
          <w:sz w:val="28"/>
          <w:szCs w:val="28"/>
        </w:rPr>
        <w:t>2023</w:t>
      </w:r>
      <w:r>
        <w:rPr>
          <w:rFonts w:ascii="Times New Roman" w:eastAsia="仿宋_GB2312" w:hAnsi="Times New Roman" w:cs="Times New Roman"/>
          <w:b/>
          <w:bCs/>
          <w:sz w:val="28"/>
          <w:szCs w:val="28"/>
        </w:rPr>
        <w:t>年</w:t>
      </w:r>
      <w:r>
        <w:rPr>
          <w:rFonts w:ascii="Times New Roman" w:eastAsia="仿宋_GB2312" w:hAnsi="Times New Roman" w:cs="Times New Roman" w:hint="eastAsia"/>
          <w:b/>
          <w:bCs/>
          <w:sz w:val="28"/>
          <w:szCs w:val="28"/>
        </w:rPr>
        <w:t>市级重大项目前期费</w:t>
      </w:r>
      <w:r>
        <w:rPr>
          <w:rFonts w:ascii="Times New Roman" w:eastAsia="仿宋_GB2312" w:hAnsi="Times New Roman" w:cs="Times New Roman"/>
          <w:b/>
          <w:bCs/>
          <w:sz w:val="28"/>
          <w:szCs w:val="28"/>
        </w:rPr>
        <w:t>项目指标评分表</w:t>
      </w:r>
    </w:p>
    <w:tbl>
      <w:tblPr>
        <w:tblW w:w="88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12"/>
        <w:gridCol w:w="2212"/>
        <w:gridCol w:w="2212"/>
        <w:gridCol w:w="2227"/>
      </w:tblGrid>
      <w:tr w:rsidR="00461755" w14:paraId="2276F1F1" w14:textId="77777777">
        <w:trPr>
          <w:cantSplit/>
          <w:trHeight w:val="522"/>
          <w:tblHeader/>
          <w:jc w:val="center"/>
        </w:trPr>
        <w:tc>
          <w:tcPr>
            <w:tcW w:w="2212" w:type="dxa"/>
            <w:shd w:val="clear" w:color="auto" w:fill="auto"/>
            <w:tcMar>
              <w:top w:w="10" w:type="dxa"/>
              <w:left w:w="10" w:type="dxa"/>
              <w:right w:w="10" w:type="dxa"/>
            </w:tcMar>
            <w:vAlign w:val="center"/>
          </w:tcPr>
          <w:p w14:paraId="2F79C3C7" w14:textId="77777777" w:rsidR="00461755" w:rsidRDefault="00B3769C">
            <w:pPr>
              <w:widowControl/>
              <w:jc w:val="center"/>
              <w:textAlignment w:val="center"/>
              <w:rPr>
                <w:rFonts w:ascii="Times New Roman" w:eastAsia="仿宋_GB2312" w:hAnsi="Times New Roman" w:cs="Times New Roman"/>
                <w:b/>
                <w:bCs/>
                <w:sz w:val="24"/>
              </w:rPr>
            </w:pPr>
            <w:r>
              <w:rPr>
                <w:rFonts w:ascii="仿宋_GB2312" w:eastAsia="仿宋_GB2312" w:hAnsi="宋体" w:cs="仿宋_GB2312"/>
                <w:b/>
                <w:bCs/>
                <w:color w:val="000000"/>
                <w:kern w:val="0"/>
                <w:sz w:val="24"/>
                <w:lang w:bidi="ar"/>
              </w:rPr>
              <w:t>一级指标</w:t>
            </w:r>
          </w:p>
        </w:tc>
        <w:tc>
          <w:tcPr>
            <w:tcW w:w="2212" w:type="dxa"/>
            <w:shd w:val="clear" w:color="auto" w:fill="auto"/>
            <w:tcMar>
              <w:top w:w="10" w:type="dxa"/>
              <w:left w:w="10" w:type="dxa"/>
              <w:right w:w="10" w:type="dxa"/>
            </w:tcMar>
            <w:vAlign w:val="center"/>
          </w:tcPr>
          <w:p w14:paraId="6D586801" w14:textId="77777777" w:rsidR="00461755" w:rsidRDefault="00B3769C">
            <w:pPr>
              <w:widowControl/>
              <w:jc w:val="center"/>
              <w:textAlignment w:val="center"/>
              <w:rPr>
                <w:rFonts w:ascii="Times New Roman" w:eastAsia="仿宋_GB2312" w:hAnsi="Times New Roman" w:cs="Times New Roman"/>
                <w:b/>
                <w:bCs/>
                <w:sz w:val="24"/>
              </w:rPr>
            </w:pPr>
            <w:r>
              <w:rPr>
                <w:rFonts w:ascii="仿宋_GB2312" w:eastAsia="仿宋_GB2312" w:hAnsi="宋体" w:cs="仿宋_GB2312"/>
                <w:b/>
                <w:bCs/>
                <w:color w:val="000000"/>
                <w:kern w:val="0"/>
                <w:sz w:val="24"/>
                <w:lang w:bidi="ar"/>
              </w:rPr>
              <w:t>分值</w:t>
            </w:r>
          </w:p>
        </w:tc>
        <w:tc>
          <w:tcPr>
            <w:tcW w:w="2212" w:type="dxa"/>
            <w:shd w:val="clear" w:color="auto" w:fill="auto"/>
            <w:tcMar>
              <w:top w:w="10" w:type="dxa"/>
              <w:left w:w="10" w:type="dxa"/>
              <w:right w:w="10" w:type="dxa"/>
            </w:tcMar>
            <w:vAlign w:val="center"/>
          </w:tcPr>
          <w:p w14:paraId="739AEFD6" w14:textId="77777777" w:rsidR="00461755" w:rsidRDefault="00B3769C">
            <w:pPr>
              <w:widowControl/>
              <w:jc w:val="center"/>
              <w:textAlignment w:val="center"/>
              <w:rPr>
                <w:rFonts w:ascii="Times New Roman" w:eastAsia="仿宋_GB2312" w:hAnsi="Times New Roman" w:cs="Times New Roman"/>
                <w:b/>
                <w:bCs/>
                <w:sz w:val="24"/>
              </w:rPr>
            </w:pPr>
            <w:r>
              <w:rPr>
                <w:rFonts w:ascii="仿宋_GB2312" w:eastAsia="仿宋_GB2312" w:hAnsi="宋体" w:cs="仿宋_GB2312"/>
                <w:b/>
                <w:bCs/>
                <w:color w:val="000000"/>
                <w:kern w:val="0"/>
                <w:sz w:val="24"/>
                <w:lang w:bidi="ar"/>
              </w:rPr>
              <w:t>得分</w:t>
            </w:r>
          </w:p>
        </w:tc>
        <w:tc>
          <w:tcPr>
            <w:tcW w:w="2227" w:type="dxa"/>
            <w:shd w:val="clear" w:color="auto" w:fill="auto"/>
            <w:tcMar>
              <w:top w:w="10" w:type="dxa"/>
              <w:left w:w="10" w:type="dxa"/>
              <w:right w:w="10" w:type="dxa"/>
            </w:tcMar>
            <w:vAlign w:val="center"/>
          </w:tcPr>
          <w:p w14:paraId="19EFE027" w14:textId="77777777" w:rsidR="00461755" w:rsidRDefault="00B3769C">
            <w:pPr>
              <w:widowControl/>
              <w:jc w:val="center"/>
              <w:textAlignment w:val="center"/>
              <w:rPr>
                <w:rFonts w:ascii="Times New Roman" w:eastAsia="仿宋_GB2312" w:hAnsi="Times New Roman" w:cs="Times New Roman"/>
                <w:b/>
                <w:bCs/>
                <w:sz w:val="24"/>
              </w:rPr>
            </w:pPr>
            <w:r>
              <w:rPr>
                <w:rFonts w:ascii="仿宋_GB2312" w:eastAsia="仿宋_GB2312" w:hAnsi="宋体" w:cs="仿宋_GB2312"/>
                <w:b/>
                <w:bCs/>
                <w:color w:val="000000"/>
                <w:kern w:val="0"/>
                <w:sz w:val="24"/>
                <w:lang w:bidi="ar"/>
              </w:rPr>
              <w:t>得分率</w:t>
            </w:r>
          </w:p>
        </w:tc>
      </w:tr>
      <w:tr w:rsidR="00461755" w14:paraId="6B353CF9" w14:textId="77777777">
        <w:trPr>
          <w:trHeight w:val="523"/>
          <w:jc w:val="center"/>
        </w:trPr>
        <w:tc>
          <w:tcPr>
            <w:tcW w:w="2212" w:type="dxa"/>
            <w:shd w:val="clear" w:color="auto" w:fill="auto"/>
            <w:tcMar>
              <w:top w:w="10" w:type="dxa"/>
              <w:left w:w="10" w:type="dxa"/>
              <w:right w:w="10" w:type="dxa"/>
            </w:tcMar>
            <w:vAlign w:val="center"/>
          </w:tcPr>
          <w:p w14:paraId="482C5FC0" w14:textId="77777777" w:rsidR="00461755" w:rsidRDefault="00B3769C">
            <w:pPr>
              <w:widowControl/>
              <w:jc w:val="center"/>
              <w:textAlignment w:val="center"/>
              <w:rPr>
                <w:rFonts w:ascii="Times New Roman" w:eastAsia="仿宋_GB2312" w:hAnsi="Times New Roman" w:cs="Times New Roman"/>
                <w:sz w:val="24"/>
              </w:rPr>
            </w:pPr>
            <w:r>
              <w:rPr>
                <w:rFonts w:ascii="仿宋_GB2312" w:eastAsia="仿宋_GB2312" w:hAnsi="宋体" w:cs="仿宋_GB2312"/>
                <w:b/>
                <w:bCs/>
                <w:color w:val="000000"/>
                <w:kern w:val="0"/>
                <w:sz w:val="24"/>
                <w:lang w:bidi="ar"/>
              </w:rPr>
              <w:t>决策</w:t>
            </w:r>
          </w:p>
        </w:tc>
        <w:tc>
          <w:tcPr>
            <w:tcW w:w="2212" w:type="dxa"/>
            <w:shd w:val="clear" w:color="auto" w:fill="auto"/>
            <w:tcMar>
              <w:top w:w="10" w:type="dxa"/>
              <w:left w:w="10" w:type="dxa"/>
              <w:right w:w="10" w:type="dxa"/>
            </w:tcMar>
            <w:vAlign w:val="center"/>
          </w:tcPr>
          <w:p w14:paraId="6962213D" w14:textId="77777777" w:rsidR="00461755" w:rsidRDefault="00B3769C">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hint="eastAsia"/>
                <w:sz w:val="24"/>
              </w:rPr>
              <w:t>16</w:t>
            </w:r>
          </w:p>
        </w:tc>
        <w:tc>
          <w:tcPr>
            <w:tcW w:w="2212" w:type="dxa"/>
            <w:shd w:val="clear" w:color="auto" w:fill="auto"/>
            <w:tcMar>
              <w:top w:w="10" w:type="dxa"/>
              <w:left w:w="10" w:type="dxa"/>
              <w:right w:w="10" w:type="dxa"/>
            </w:tcMar>
            <w:vAlign w:val="center"/>
          </w:tcPr>
          <w:p w14:paraId="74A20EDA" w14:textId="77777777" w:rsidR="00461755" w:rsidRDefault="00B3769C">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hint="eastAsia"/>
                <w:sz w:val="24"/>
              </w:rPr>
              <w:t>8.50</w:t>
            </w:r>
          </w:p>
        </w:tc>
        <w:tc>
          <w:tcPr>
            <w:tcW w:w="2227" w:type="dxa"/>
            <w:shd w:val="clear" w:color="auto" w:fill="auto"/>
            <w:tcMar>
              <w:top w:w="10" w:type="dxa"/>
              <w:left w:w="10" w:type="dxa"/>
              <w:right w:w="10" w:type="dxa"/>
            </w:tcMar>
            <w:vAlign w:val="center"/>
          </w:tcPr>
          <w:p w14:paraId="0820BE67" w14:textId="77777777" w:rsidR="00461755" w:rsidRDefault="00B3769C">
            <w:pPr>
              <w:widowControl/>
              <w:jc w:val="center"/>
              <w:textAlignment w:val="center"/>
              <w:rPr>
                <w:rFonts w:ascii="Times New Roman" w:eastAsia="仿宋_GB2312" w:hAnsi="Times New Roman" w:cs="Times New Roman"/>
                <w:sz w:val="24"/>
              </w:rPr>
            </w:pPr>
            <w:r>
              <w:rPr>
                <w:rFonts w:ascii="Times New Roman" w:hAnsi="Times New Roman" w:cs="Times New Roman" w:hint="eastAsia"/>
                <w:color w:val="000000"/>
                <w:kern w:val="0"/>
                <w:sz w:val="24"/>
                <w:lang w:bidi="ar"/>
              </w:rPr>
              <w:t>53</w:t>
            </w:r>
            <w:r>
              <w:rPr>
                <w:rFonts w:ascii="Times New Roman" w:hAnsi="Times New Roman" w:cs="Times New Roman"/>
                <w:color w:val="000000"/>
                <w:kern w:val="0"/>
                <w:sz w:val="24"/>
                <w:lang w:bidi="ar"/>
              </w:rPr>
              <w:t>.</w:t>
            </w:r>
            <w:r>
              <w:rPr>
                <w:rFonts w:ascii="Times New Roman" w:hAnsi="Times New Roman" w:cs="Times New Roman" w:hint="eastAsia"/>
                <w:color w:val="000000"/>
                <w:kern w:val="0"/>
                <w:sz w:val="24"/>
                <w:lang w:bidi="ar"/>
              </w:rPr>
              <w:t>125</w:t>
            </w:r>
            <w:r>
              <w:rPr>
                <w:rFonts w:ascii="Times New Roman" w:hAnsi="Times New Roman" w:cs="Times New Roman"/>
                <w:color w:val="000000"/>
                <w:kern w:val="0"/>
                <w:sz w:val="24"/>
                <w:lang w:bidi="ar"/>
              </w:rPr>
              <w:t>%</w:t>
            </w:r>
          </w:p>
        </w:tc>
      </w:tr>
      <w:tr w:rsidR="00461755" w14:paraId="582E123B" w14:textId="77777777">
        <w:trPr>
          <w:trHeight w:val="523"/>
          <w:jc w:val="center"/>
        </w:trPr>
        <w:tc>
          <w:tcPr>
            <w:tcW w:w="2212" w:type="dxa"/>
            <w:shd w:val="clear" w:color="auto" w:fill="auto"/>
            <w:tcMar>
              <w:top w:w="10" w:type="dxa"/>
              <w:left w:w="10" w:type="dxa"/>
              <w:right w:w="10" w:type="dxa"/>
            </w:tcMar>
            <w:vAlign w:val="center"/>
          </w:tcPr>
          <w:p w14:paraId="74710833" w14:textId="77777777" w:rsidR="00461755" w:rsidRDefault="00B3769C">
            <w:pPr>
              <w:widowControl/>
              <w:jc w:val="center"/>
              <w:textAlignment w:val="center"/>
              <w:rPr>
                <w:rFonts w:ascii="仿宋_GB2312" w:eastAsia="仿宋_GB2312" w:hAnsi="宋体" w:cs="仿宋_GB2312"/>
                <w:b/>
                <w:bCs/>
                <w:color w:val="000000"/>
                <w:kern w:val="0"/>
                <w:sz w:val="24"/>
                <w:lang w:bidi="ar"/>
              </w:rPr>
            </w:pPr>
            <w:r>
              <w:rPr>
                <w:rFonts w:ascii="仿宋_GB2312" w:eastAsia="仿宋_GB2312" w:hAnsi="宋体" w:cs="仿宋_GB2312" w:hint="eastAsia"/>
                <w:b/>
                <w:bCs/>
                <w:color w:val="000000"/>
                <w:kern w:val="0"/>
                <w:sz w:val="24"/>
                <w:lang w:bidi="ar"/>
              </w:rPr>
              <w:t>过程</w:t>
            </w:r>
          </w:p>
        </w:tc>
        <w:tc>
          <w:tcPr>
            <w:tcW w:w="2212" w:type="dxa"/>
            <w:shd w:val="clear" w:color="auto" w:fill="auto"/>
            <w:tcMar>
              <w:top w:w="10" w:type="dxa"/>
              <w:left w:w="10" w:type="dxa"/>
              <w:right w:w="10" w:type="dxa"/>
            </w:tcMar>
            <w:vAlign w:val="center"/>
          </w:tcPr>
          <w:p w14:paraId="2F549486" w14:textId="77777777" w:rsidR="00461755" w:rsidRDefault="00B3769C">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hint="eastAsia"/>
                <w:sz w:val="24"/>
              </w:rPr>
              <w:t>24</w:t>
            </w:r>
          </w:p>
        </w:tc>
        <w:tc>
          <w:tcPr>
            <w:tcW w:w="2212" w:type="dxa"/>
            <w:shd w:val="clear" w:color="auto" w:fill="auto"/>
            <w:tcMar>
              <w:top w:w="10" w:type="dxa"/>
              <w:left w:w="10" w:type="dxa"/>
              <w:right w:w="10" w:type="dxa"/>
            </w:tcMar>
            <w:vAlign w:val="center"/>
          </w:tcPr>
          <w:p w14:paraId="5AD2A63B" w14:textId="77777777" w:rsidR="00461755" w:rsidRDefault="00B3769C">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hint="eastAsia"/>
                <w:sz w:val="24"/>
              </w:rPr>
              <w:t>13.58</w:t>
            </w:r>
            <w:r>
              <w:rPr>
                <w:rFonts w:ascii="Times New Roman" w:eastAsia="仿宋_GB2312" w:hAnsi="Times New Roman" w:cs="Times New Roman"/>
                <w:sz w:val="24"/>
              </w:rPr>
              <w:t xml:space="preserve"> </w:t>
            </w:r>
          </w:p>
        </w:tc>
        <w:tc>
          <w:tcPr>
            <w:tcW w:w="2227" w:type="dxa"/>
            <w:shd w:val="clear" w:color="auto" w:fill="auto"/>
            <w:tcMar>
              <w:top w:w="10" w:type="dxa"/>
              <w:left w:w="10" w:type="dxa"/>
              <w:right w:w="10" w:type="dxa"/>
            </w:tcMar>
            <w:vAlign w:val="center"/>
          </w:tcPr>
          <w:p w14:paraId="5E3FFF32" w14:textId="77777777" w:rsidR="00461755" w:rsidRDefault="00B3769C">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hint="eastAsia"/>
                <w:sz w:val="24"/>
              </w:rPr>
              <w:t>56</w:t>
            </w:r>
            <w:r>
              <w:rPr>
                <w:rFonts w:ascii="Times New Roman" w:eastAsia="仿宋_GB2312" w:hAnsi="Times New Roman" w:cs="Times New Roman"/>
                <w:sz w:val="24"/>
              </w:rPr>
              <w:t>.</w:t>
            </w:r>
            <w:r>
              <w:rPr>
                <w:rFonts w:ascii="Times New Roman" w:eastAsia="仿宋_GB2312" w:hAnsi="Times New Roman" w:cs="Times New Roman" w:hint="eastAsia"/>
                <w:sz w:val="24"/>
              </w:rPr>
              <w:t>58</w:t>
            </w:r>
            <w:r>
              <w:rPr>
                <w:rFonts w:ascii="Times New Roman" w:eastAsia="仿宋_GB2312" w:hAnsi="Times New Roman" w:cs="Times New Roman"/>
                <w:sz w:val="24"/>
              </w:rPr>
              <w:t>%</w:t>
            </w:r>
          </w:p>
        </w:tc>
      </w:tr>
      <w:tr w:rsidR="00461755" w14:paraId="3A0B7FD2" w14:textId="77777777">
        <w:trPr>
          <w:trHeight w:val="523"/>
          <w:jc w:val="center"/>
        </w:trPr>
        <w:tc>
          <w:tcPr>
            <w:tcW w:w="2212" w:type="dxa"/>
            <w:shd w:val="clear" w:color="auto" w:fill="auto"/>
            <w:tcMar>
              <w:top w:w="10" w:type="dxa"/>
              <w:left w:w="10" w:type="dxa"/>
              <w:right w:w="10" w:type="dxa"/>
            </w:tcMar>
            <w:vAlign w:val="center"/>
          </w:tcPr>
          <w:p w14:paraId="7A7E3EF1" w14:textId="77777777" w:rsidR="00461755" w:rsidRDefault="00B3769C">
            <w:pPr>
              <w:widowControl/>
              <w:jc w:val="center"/>
              <w:textAlignment w:val="center"/>
              <w:rPr>
                <w:rFonts w:ascii="仿宋_GB2312" w:eastAsia="仿宋_GB2312" w:hAnsi="宋体" w:cs="仿宋_GB2312"/>
                <w:b/>
                <w:bCs/>
                <w:color w:val="000000"/>
                <w:kern w:val="0"/>
                <w:sz w:val="24"/>
                <w:lang w:bidi="ar"/>
              </w:rPr>
            </w:pPr>
            <w:r>
              <w:rPr>
                <w:rFonts w:ascii="仿宋_GB2312" w:eastAsia="仿宋_GB2312" w:hAnsi="宋体" w:cs="仿宋_GB2312" w:hint="eastAsia"/>
                <w:b/>
                <w:bCs/>
                <w:color w:val="000000"/>
                <w:kern w:val="0"/>
                <w:sz w:val="24"/>
                <w:lang w:bidi="ar"/>
              </w:rPr>
              <w:t>产出</w:t>
            </w:r>
          </w:p>
        </w:tc>
        <w:tc>
          <w:tcPr>
            <w:tcW w:w="2212" w:type="dxa"/>
            <w:shd w:val="clear" w:color="auto" w:fill="auto"/>
            <w:tcMar>
              <w:top w:w="10" w:type="dxa"/>
              <w:left w:w="10" w:type="dxa"/>
              <w:right w:w="10" w:type="dxa"/>
            </w:tcMar>
            <w:vAlign w:val="center"/>
          </w:tcPr>
          <w:p w14:paraId="584197C3" w14:textId="77777777" w:rsidR="00461755" w:rsidRDefault="00B3769C">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hint="eastAsia"/>
                <w:sz w:val="24"/>
              </w:rPr>
              <w:t>40</w:t>
            </w:r>
          </w:p>
        </w:tc>
        <w:tc>
          <w:tcPr>
            <w:tcW w:w="2212" w:type="dxa"/>
            <w:shd w:val="clear" w:color="auto" w:fill="auto"/>
            <w:tcMar>
              <w:top w:w="10" w:type="dxa"/>
              <w:left w:w="10" w:type="dxa"/>
              <w:right w:w="10" w:type="dxa"/>
            </w:tcMar>
            <w:vAlign w:val="center"/>
          </w:tcPr>
          <w:p w14:paraId="6768098D" w14:textId="77777777" w:rsidR="00461755" w:rsidRDefault="00B3769C">
            <w:pPr>
              <w:widowControl/>
              <w:jc w:val="center"/>
              <w:textAlignment w:val="center"/>
              <w:rPr>
                <w:rFonts w:ascii="Times New Roman" w:eastAsia="仿宋_GB2312" w:hAnsi="Times New Roman" w:cs="Times New Roman"/>
                <w:sz w:val="24"/>
              </w:rPr>
            </w:pPr>
            <w:r>
              <w:rPr>
                <w:rFonts w:ascii="Times New Roman" w:hAnsi="Times New Roman" w:cs="Times New Roman" w:hint="eastAsia"/>
                <w:color w:val="000000"/>
                <w:kern w:val="0"/>
                <w:sz w:val="24"/>
                <w:lang w:bidi="ar"/>
              </w:rPr>
              <w:t>24</w:t>
            </w:r>
            <w:r>
              <w:rPr>
                <w:rFonts w:ascii="Times New Roman" w:hAnsi="Times New Roman" w:cs="Times New Roman"/>
                <w:color w:val="000000"/>
                <w:kern w:val="0"/>
                <w:sz w:val="24"/>
                <w:lang w:bidi="ar"/>
              </w:rPr>
              <w:t xml:space="preserve">.00 </w:t>
            </w:r>
          </w:p>
        </w:tc>
        <w:tc>
          <w:tcPr>
            <w:tcW w:w="2227" w:type="dxa"/>
            <w:shd w:val="clear" w:color="auto" w:fill="auto"/>
            <w:tcMar>
              <w:top w:w="10" w:type="dxa"/>
              <w:left w:w="10" w:type="dxa"/>
              <w:right w:w="10" w:type="dxa"/>
            </w:tcMar>
            <w:vAlign w:val="center"/>
          </w:tcPr>
          <w:p w14:paraId="1D434DC7" w14:textId="77777777" w:rsidR="00461755" w:rsidRDefault="00B3769C">
            <w:pPr>
              <w:widowControl/>
              <w:jc w:val="center"/>
              <w:textAlignment w:val="center"/>
              <w:rPr>
                <w:rFonts w:ascii="Times New Roman" w:eastAsia="仿宋_GB2312" w:hAnsi="Times New Roman" w:cs="Times New Roman"/>
                <w:sz w:val="24"/>
              </w:rPr>
            </w:pPr>
            <w:r>
              <w:rPr>
                <w:rFonts w:ascii="Times New Roman" w:hAnsi="Times New Roman" w:cs="Times New Roman" w:hint="eastAsia"/>
                <w:color w:val="000000"/>
                <w:kern w:val="0"/>
                <w:sz w:val="24"/>
                <w:lang w:bidi="ar"/>
              </w:rPr>
              <w:t>60</w:t>
            </w:r>
            <w:r>
              <w:rPr>
                <w:rFonts w:ascii="Times New Roman" w:hAnsi="Times New Roman" w:cs="Times New Roman"/>
                <w:color w:val="000000"/>
                <w:kern w:val="0"/>
                <w:sz w:val="24"/>
                <w:lang w:bidi="ar"/>
              </w:rPr>
              <w:t>.</w:t>
            </w:r>
            <w:r>
              <w:rPr>
                <w:rFonts w:ascii="Times New Roman" w:hAnsi="Times New Roman" w:cs="Times New Roman" w:hint="eastAsia"/>
                <w:color w:val="000000"/>
                <w:kern w:val="0"/>
                <w:sz w:val="24"/>
                <w:lang w:bidi="ar"/>
              </w:rPr>
              <w:t>0</w:t>
            </w:r>
            <w:r>
              <w:rPr>
                <w:rFonts w:ascii="Times New Roman" w:hAnsi="Times New Roman" w:cs="Times New Roman"/>
                <w:color w:val="000000"/>
                <w:kern w:val="0"/>
                <w:sz w:val="24"/>
                <w:lang w:bidi="ar"/>
              </w:rPr>
              <w:t>0%</w:t>
            </w:r>
          </w:p>
        </w:tc>
      </w:tr>
      <w:tr w:rsidR="00461755" w14:paraId="2F96A613" w14:textId="77777777">
        <w:trPr>
          <w:trHeight w:val="523"/>
          <w:jc w:val="center"/>
        </w:trPr>
        <w:tc>
          <w:tcPr>
            <w:tcW w:w="2212" w:type="dxa"/>
            <w:shd w:val="clear" w:color="auto" w:fill="auto"/>
            <w:tcMar>
              <w:top w:w="10" w:type="dxa"/>
              <w:left w:w="10" w:type="dxa"/>
              <w:right w:w="10" w:type="dxa"/>
            </w:tcMar>
            <w:vAlign w:val="center"/>
          </w:tcPr>
          <w:p w14:paraId="66335B6D" w14:textId="77777777" w:rsidR="00461755" w:rsidRDefault="00B3769C">
            <w:pPr>
              <w:widowControl/>
              <w:jc w:val="center"/>
              <w:textAlignment w:val="center"/>
              <w:rPr>
                <w:rFonts w:ascii="仿宋_GB2312" w:eastAsia="仿宋_GB2312" w:hAnsi="宋体" w:cs="仿宋_GB2312"/>
                <w:b/>
                <w:bCs/>
                <w:color w:val="000000"/>
                <w:kern w:val="0"/>
                <w:sz w:val="24"/>
                <w:lang w:bidi="ar"/>
              </w:rPr>
            </w:pPr>
            <w:r>
              <w:rPr>
                <w:rFonts w:ascii="仿宋_GB2312" w:eastAsia="仿宋_GB2312" w:hAnsi="宋体" w:cs="仿宋_GB2312" w:hint="eastAsia"/>
                <w:b/>
                <w:bCs/>
                <w:color w:val="000000"/>
                <w:kern w:val="0"/>
                <w:sz w:val="24"/>
                <w:lang w:bidi="ar"/>
              </w:rPr>
              <w:lastRenderedPageBreak/>
              <w:t>效益</w:t>
            </w:r>
          </w:p>
        </w:tc>
        <w:tc>
          <w:tcPr>
            <w:tcW w:w="2212" w:type="dxa"/>
            <w:shd w:val="clear" w:color="auto" w:fill="auto"/>
            <w:tcMar>
              <w:top w:w="10" w:type="dxa"/>
              <w:left w:w="10" w:type="dxa"/>
              <w:right w:w="10" w:type="dxa"/>
            </w:tcMar>
            <w:vAlign w:val="center"/>
          </w:tcPr>
          <w:p w14:paraId="5B475104" w14:textId="77777777" w:rsidR="00461755" w:rsidRDefault="00B3769C">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hint="eastAsia"/>
                <w:sz w:val="24"/>
              </w:rPr>
              <w:t>20</w:t>
            </w:r>
          </w:p>
        </w:tc>
        <w:tc>
          <w:tcPr>
            <w:tcW w:w="2212" w:type="dxa"/>
            <w:shd w:val="clear" w:color="auto" w:fill="auto"/>
            <w:tcMar>
              <w:top w:w="10" w:type="dxa"/>
              <w:left w:w="10" w:type="dxa"/>
              <w:right w:w="10" w:type="dxa"/>
            </w:tcMar>
            <w:vAlign w:val="center"/>
          </w:tcPr>
          <w:p w14:paraId="59FC0049" w14:textId="77777777" w:rsidR="00461755" w:rsidRDefault="00B3769C">
            <w:pPr>
              <w:widowControl/>
              <w:jc w:val="center"/>
              <w:textAlignment w:val="center"/>
              <w:rPr>
                <w:rFonts w:ascii="Times New Roman" w:eastAsia="仿宋_GB2312" w:hAnsi="Times New Roman" w:cs="Times New Roman"/>
                <w:sz w:val="24"/>
              </w:rPr>
            </w:pPr>
            <w:r>
              <w:rPr>
                <w:rFonts w:ascii="Times New Roman" w:hAnsi="Times New Roman" w:cs="Times New Roman" w:hint="eastAsia"/>
                <w:color w:val="000000"/>
                <w:kern w:val="0"/>
                <w:sz w:val="24"/>
                <w:lang w:bidi="ar"/>
              </w:rPr>
              <w:t>10</w:t>
            </w:r>
            <w:r>
              <w:rPr>
                <w:rFonts w:ascii="Times New Roman" w:hAnsi="Times New Roman" w:cs="Times New Roman"/>
                <w:color w:val="000000"/>
                <w:kern w:val="0"/>
                <w:sz w:val="24"/>
                <w:lang w:bidi="ar"/>
              </w:rPr>
              <w:t>.0</w:t>
            </w:r>
            <w:r>
              <w:rPr>
                <w:rFonts w:ascii="Times New Roman" w:hAnsi="Times New Roman" w:cs="Times New Roman" w:hint="eastAsia"/>
                <w:color w:val="000000"/>
                <w:kern w:val="0"/>
                <w:sz w:val="24"/>
                <w:lang w:bidi="ar"/>
              </w:rPr>
              <w:t>0</w:t>
            </w:r>
          </w:p>
        </w:tc>
        <w:tc>
          <w:tcPr>
            <w:tcW w:w="2227" w:type="dxa"/>
            <w:shd w:val="clear" w:color="auto" w:fill="auto"/>
            <w:tcMar>
              <w:top w:w="10" w:type="dxa"/>
              <w:left w:w="10" w:type="dxa"/>
              <w:right w:w="10" w:type="dxa"/>
            </w:tcMar>
            <w:vAlign w:val="center"/>
          </w:tcPr>
          <w:p w14:paraId="33A3D7B2" w14:textId="77777777" w:rsidR="00461755" w:rsidRDefault="00B3769C">
            <w:pPr>
              <w:widowControl/>
              <w:jc w:val="center"/>
              <w:textAlignment w:val="center"/>
              <w:rPr>
                <w:rFonts w:ascii="Times New Roman" w:eastAsia="仿宋_GB2312" w:hAnsi="Times New Roman" w:cs="Times New Roman"/>
                <w:sz w:val="24"/>
              </w:rPr>
            </w:pPr>
            <w:r>
              <w:rPr>
                <w:rFonts w:ascii="Times New Roman" w:hAnsi="Times New Roman" w:cs="Times New Roman" w:hint="eastAsia"/>
                <w:color w:val="000000"/>
                <w:kern w:val="0"/>
                <w:sz w:val="24"/>
                <w:lang w:bidi="ar"/>
              </w:rPr>
              <w:t>50</w:t>
            </w:r>
            <w:r>
              <w:rPr>
                <w:rFonts w:ascii="Times New Roman" w:hAnsi="Times New Roman" w:cs="Times New Roman"/>
                <w:color w:val="000000"/>
                <w:kern w:val="0"/>
                <w:sz w:val="24"/>
                <w:lang w:bidi="ar"/>
              </w:rPr>
              <w:t>.</w:t>
            </w:r>
            <w:r>
              <w:rPr>
                <w:rFonts w:ascii="Times New Roman" w:hAnsi="Times New Roman" w:cs="Times New Roman" w:hint="eastAsia"/>
                <w:color w:val="000000"/>
                <w:kern w:val="0"/>
                <w:sz w:val="24"/>
                <w:lang w:bidi="ar"/>
              </w:rPr>
              <w:t>00</w:t>
            </w:r>
            <w:r>
              <w:rPr>
                <w:rFonts w:ascii="Times New Roman" w:hAnsi="Times New Roman" w:cs="Times New Roman"/>
                <w:color w:val="000000"/>
                <w:kern w:val="0"/>
                <w:sz w:val="24"/>
                <w:lang w:bidi="ar"/>
              </w:rPr>
              <w:t>%</w:t>
            </w:r>
          </w:p>
        </w:tc>
      </w:tr>
      <w:tr w:rsidR="00461755" w14:paraId="517626B9" w14:textId="77777777">
        <w:trPr>
          <w:trHeight w:val="523"/>
          <w:jc w:val="center"/>
        </w:trPr>
        <w:tc>
          <w:tcPr>
            <w:tcW w:w="2212" w:type="dxa"/>
            <w:shd w:val="clear" w:color="auto" w:fill="auto"/>
            <w:tcMar>
              <w:top w:w="10" w:type="dxa"/>
              <w:left w:w="10" w:type="dxa"/>
              <w:right w:w="10" w:type="dxa"/>
            </w:tcMar>
            <w:vAlign w:val="center"/>
          </w:tcPr>
          <w:p w14:paraId="416DFBA5" w14:textId="77777777" w:rsidR="00461755" w:rsidRDefault="00B3769C">
            <w:pPr>
              <w:widowControl/>
              <w:jc w:val="center"/>
              <w:textAlignment w:val="center"/>
              <w:rPr>
                <w:rFonts w:ascii="Times New Roman" w:eastAsia="仿宋_GB2312" w:hAnsi="Times New Roman" w:cs="Times New Roman"/>
                <w:sz w:val="24"/>
              </w:rPr>
            </w:pPr>
            <w:r>
              <w:rPr>
                <w:rFonts w:ascii="仿宋_GB2312" w:eastAsia="仿宋_GB2312" w:hAnsi="宋体" w:cs="仿宋_GB2312"/>
                <w:b/>
                <w:bCs/>
                <w:color w:val="000000"/>
                <w:kern w:val="0"/>
                <w:sz w:val="24"/>
                <w:lang w:bidi="ar"/>
              </w:rPr>
              <w:t>合计</w:t>
            </w:r>
          </w:p>
        </w:tc>
        <w:tc>
          <w:tcPr>
            <w:tcW w:w="2212" w:type="dxa"/>
            <w:shd w:val="clear" w:color="auto" w:fill="auto"/>
            <w:tcMar>
              <w:top w:w="10" w:type="dxa"/>
              <w:left w:w="10" w:type="dxa"/>
              <w:right w:w="10" w:type="dxa"/>
            </w:tcMar>
            <w:vAlign w:val="center"/>
          </w:tcPr>
          <w:p w14:paraId="335BD37E" w14:textId="77777777" w:rsidR="00461755" w:rsidRDefault="00B3769C">
            <w:pPr>
              <w:widowControl/>
              <w:jc w:val="center"/>
              <w:textAlignment w:val="center"/>
              <w:rPr>
                <w:rFonts w:ascii="Times New Roman" w:eastAsia="仿宋_GB2312" w:hAnsi="Times New Roman" w:cs="Times New Roman"/>
                <w:sz w:val="24"/>
              </w:rPr>
            </w:pPr>
            <w:r>
              <w:rPr>
                <w:rFonts w:ascii="Times New Roman" w:hAnsi="Times New Roman" w:cs="Times New Roman"/>
                <w:b/>
                <w:bCs/>
                <w:color w:val="000000"/>
                <w:kern w:val="0"/>
                <w:sz w:val="24"/>
                <w:lang w:bidi="ar"/>
              </w:rPr>
              <w:t>100</w:t>
            </w:r>
          </w:p>
        </w:tc>
        <w:tc>
          <w:tcPr>
            <w:tcW w:w="2212" w:type="dxa"/>
            <w:shd w:val="clear" w:color="auto" w:fill="auto"/>
            <w:tcMar>
              <w:top w:w="10" w:type="dxa"/>
              <w:left w:w="10" w:type="dxa"/>
              <w:right w:w="10" w:type="dxa"/>
            </w:tcMar>
            <w:vAlign w:val="center"/>
          </w:tcPr>
          <w:p w14:paraId="64CD477D" w14:textId="77777777" w:rsidR="00461755" w:rsidRDefault="00B3769C">
            <w:pPr>
              <w:widowControl/>
              <w:jc w:val="center"/>
              <w:textAlignment w:val="center"/>
              <w:rPr>
                <w:rFonts w:ascii="Times New Roman" w:eastAsia="仿宋_GB2312" w:hAnsi="Times New Roman" w:cs="Times New Roman"/>
                <w:sz w:val="24"/>
              </w:rPr>
            </w:pPr>
            <w:r>
              <w:rPr>
                <w:rFonts w:ascii="Times New Roman" w:hAnsi="Times New Roman" w:cs="Times New Roman" w:hint="eastAsia"/>
                <w:b/>
                <w:bCs/>
                <w:color w:val="000000"/>
                <w:kern w:val="0"/>
                <w:sz w:val="24"/>
                <w:lang w:bidi="ar"/>
              </w:rPr>
              <w:t>56</w:t>
            </w:r>
            <w:r>
              <w:rPr>
                <w:rFonts w:ascii="Times New Roman" w:hAnsi="Times New Roman" w:cs="Times New Roman"/>
                <w:b/>
                <w:bCs/>
                <w:color w:val="000000"/>
                <w:kern w:val="0"/>
                <w:sz w:val="24"/>
                <w:lang w:bidi="ar"/>
              </w:rPr>
              <w:t>.</w:t>
            </w:r>
            <w:r>
              <w:rPr>
                <w:rFonts w:ascii="Times New Roman" w:hAnsi="Times New Roman" w:cs="Times New Roman" w:hint="eastAsia"/>
                <w:b/>
                <w:bCs/>
                <w:color w:val="000000"/>
                <w:kern w:val="0"/>
                <w:sz w:val="24"/>
                <w:lang w:bidi="ar"/>
              </w:rPr>
              <w:t>08</w:t>
            </w:r>
          </w:p>
        </w:tc>
        <w:tc>
          <w:tcPr>
            <w:tcW w:w="2227" w:type="dxa"/>
            <w:shd w:val="clear" w:color="auto" w:fill="auto"/>
            <w:tcMar>
              <w:top w:w="10" w:type="dxa"/>
              <w:left w:w="10" w:type="dxa"/>
              <w:right w:w="10" w:type="dxa"/>
            </w:tcMar>
            <w:vAlign w:val="center"/>
          </w:tcPr>
          <w:p w14:paraId="323C6186" w14:textId="77777777" w:rsidR="00461755" w:rsidRDefault="00B3769C">
            <w:pPr>
              <w:widowControl/>
              <w:jc w:val="center"/>
              <w:textAlignment w:val="center"/>
              <w:rPr>
                <w:rFonts w:ascii="Times New Roman" w:eastAsia="仿宋_GB2312" w:hAnsi="Times New Roman" w:cs="Times New Roman"/>
                <w:sz w:val="24"/>
              </w:rPr>
            </w:pPr>
            <w:r>
              <w:rPr>
                <w:rFonts w:ascii="Times New Roman" w:hAnsi="Times New Roman" w:cs="Times New Roman" w:hint="eastAsia"/>
                <w:b/>
                <w:bCs/>
                <w:color w:val="000000"/>
                <w:kern w:val="0"/>
                <w:sz w:val="24"/>
                <w:lang w:bidi="ar"/>
              </w:rPr>
              <w:t>56</w:t>
            </w:r>
            <w:r>
              <w:rPr>
                <w:rFonts w:ascii="Times New Roman" w:hAnsi="Times New Roman" w:cs="Times New Roman"/>
                <w:b/>
                <w:bCs/>
                <w:color w:val="000000"/>
                <w:kern w:val="0"/>
                <w:sz w:val="24"/>
                <w:lang w:bidi="ar"/>
              </w:rPr>
              <w:t>.</w:t>
            </w:r>
            <w:r>
              <w:rPr>
                <w:rFonts w:ascii="Times New Roman" w:hAnsi="Times New Roman" w:cs="Times New Roman" w:hint="eastAsia"/>
                <w:b/>
                <w:bCs/>
                <w:color w:val="000000"/>
                <w:kern w:val="0"/>
                <w:sz w:val="24"/>
                <w:lang w:bidi="ar"/>
              </w:rPr>
              <w:t>08</w:t>
            </w:r>
            <w:r>
              <w:rPr>
                <w:rFonts w:ascii="Times New Roman" w:hAnsi="Times New Roman" w:cs="Times New Roman"/>
                <w:b/>
                <w:bCs/>
                <w:color w:val="000000"/>
                <w:kern w:val="0"/>
                <w:sz w:val="24"/>
                <w:lang w:bidi="ar"/>
              </w:rPr>
              <w:t>%</w:t>
            </w:r>
          </w:p>
        </w:tc>
      </w:tr>
      <w:tr w:rsidR="00461755" w14:paraId="095E704D" w14:textId="77777777">
        <w:trPr>
          <w:trHeight w:val="523"/>
          <w:jc w:val="center"/>
        </w:trPr>
        <w:tc>
          <w:tcPr>
            <w:tcW w:w="8863" w:type="dxa"/>
            <w:gridSpan w:val="4"/>
            <w:shd w:val="clear" w:color="auto" w:fill="auto"/>
            <w:tcMar>
              <w:top w:w="10" w:type="dxa"/>
              <w:left w:w="10" w:type="dxa"/>
              <w:right w:w="10" w:type="dxa"/>
            </w:tcMar>
            <w:vAlign w:val="center"/>
          </w:tcPr>
          <w:p w14:paraId="3CB86744" w14:textId="77777777" w:rsidR="00461755" w:rsidRDefault="00B3769C">
            <w:pPr>
              <w:widowControl/>
              <w:jc w:val="center"/>
              <w:textAlignment w:val="center"/>
              <w:rPr>
                <w:rFonts w:ascii="Times New Roman" w:eastAsia="仿宋_GB2312" w:hAnsi="Times New Roman" w:cs="Times New Roman"/>
                <w:sz w:val="24"/>
              </w:rPr>
            </w:pPr>
            <w:r>
              <w:rPr>
                <w:rFonts w:ascii="仿宋_GB2312" w:eastAsia="仿宋_GB2312" w:hAnsi="宋体" w:cs="仿宋_GB2312"/>
                <w:b/>
                <w:bCs/>
                <w:color w:val="000000"/>
                <w:kern w:val="0"/>
                <w:sz w:val="24"/>
                <w:lang w:bidi="ar"/>
              </w:rPr>
              <w:t>绩效评价得分：</w:t>
            </w:r>
            <w:r>
              <w:rPr>
                <w:rFonts w:ascii="仿宋_GB2312" w:eastAsia="仿宋_GB2312" w:hAnsi="宋体" w:cs="仿宋_GB2312" w:hint="eastAsia"/>
                <w:b/>
                <w:bCs/>
                <w:color w:val="000000"/>
                <w:kern w:val="0"/>
                <w:sz w:val="24"/>
                <w:lang w:bidi="ar"/>
              </w:rPr>
              <w:t>56.08</w:t>
            </w:r>
            <w:r>
              <w:rPr>
                <w:rFonts w:ascii="Times New Roman" w:eastAsia="仿宋_GB2312" w:hAnsi="Times New Roman" w:cs="Times New Roman" w:hint="eastAsia"/>
                <w:b/>
                <w:bCs/>
                <w:color w:val="000000"/>
                <w:kern w:val="0"/>
                <w:sz w:val="24"/>
                <w:lang w:bidi="ar"/>
              </w:rPr>
              <w:t xml:space="preserve">   </w:t>
            </w:r>
            <w:r>
              <w:rPr>
                <w:rFonts w:ascii="Times New Roman" w:eastAsia="仿宋_GB2312" w:hAnsi="Times New Roman" w:cs="Times New Roman"/>
                <w:b/>
                <w:bCs/>
                <w:color w:val="000000"/>
                <w:kern w:val="0"/>
                <w:sz w:val="24"/>
                <w:lang w:bidi="ar"/>
              </w:rPr>
              <w:t xml:space="preserve"> </w:t>
            </w:r>
            <w:r>
              <w:rPr>
                <w:rFonts w:ascii="仿宋_GB2312" w:eastAsia="仿宋_GB2312" w:hAnsi="宋体" w:cs="仿宋_GB2312"/>
                <w:b/>
                <w:bCs/>
                <w:color w:val="000000"/>
                <w:kern w:val="0"/>
                <w:sz w:val="24"/>
                <w:lang w:bidi="ar"/>
              </w:rPr>
              <w:t>综合评价结果等级：</w:t>
            </w:r>
            <w:r>
              <w:rPr>
                <w:rFonts w:ascii="仿宋_GB2312" w:eastAsia="仿宋_GB2312" w:hAnsi="宋体" w:cs="仿宋_GB2312" w:hint="eastAsia"/>
                <w:b/>
                <w:bCs/>
                <w:color w:val="000000"/>
                <w:kern w:val="0"/>
                <w:sz w:val="24"/>
                <w:lang w:bidi="ar"/>
              </w:rPr>
              <w:t>差</w:t>
            </w:r>
          </w:p>
        </w:tc>
      </w:tr>
    </w:tbl>
    <w:p w14:paraId="0706F039" w14:textId="77777777" w:rsidR="00461755" w:rsidRDefault="00461755"/>
    <w:p w14:paraId="303A81AA" w14:textId="77777777" w:rsidR="00461755" w:rsidRDefault="00B3769C">
      <w:pPr>
        <w:pStyle w:val="a5"/>
        <w:spacing w:line="560" w:lineRule="exact"/>
        <w:ind w:firstLineChars="200" w:firstLine="640"/>
        <w:rPr>
          <w:rFonts w:ascii="黑体" w:eastAsia="黑体" w:hAnsi="黑体" w:cs="黑体"/>
        </w:rPr>
      </w:pPr>
      <w:r>
        <w:rPr>
          <w:rFonts w:ascii="黑体" w:eastAsia="黑体" w:hAnsi="黑体" w:cs="黑体" w:hint="eastAsia"/>
        </w:rPr>
        <w:t>三、绩效评价指标分析</w:t>
      </w:r>
    </w:p>
    <w:p w14:paraId="4F8D311F" w14:textId="77777777" w:rsidR="00461755" w:rsidRDefault="00B3769C">
      <w:pPr>
        <w:spacing w:line="560" w:lineRule="exact"/>
        <w:ind w:firstLineChars="200" w:firstLine="643"/>
        <w:rPr>
          <w:rFonts w:ascii="楷体" w:eastAsia="楷体" w:hAnsi="楷体" w:cs="楷体"/>
          <w:b/>
          <w:bCs/>
          <w:sz w:val="32"/>
          <w:szCs w:val="32"/>
        </w:rPr>
      </w:pPr>
      <w:r>
        <w:rPr>
          <w:rFonts w:ascii="楷体" w:eastAsia="楷体" w:hAnsi="楷体" w:cs="楷体"/>
          <w:b/>
          <w:bCs/>
          <w:sz w:val="32"/>
          <w:szCs w:val="32"/>
        </w:rPr>
        <w:t>（一）项目决策情况</w:t>
      </w:r>
      <w:r>
        <w:rPr>
          <w:rFonts w:ascii="Times New Roman" w:eastAsia="仿宋_GB2312" w:hAnsi="Times New Roman" w:cs="Times New Roman"/>
          <w:b/>
          <w:bCs/>
          <w:sz w:val="32"/>
          <w:szCs w:val="32"/>
        </w:rPr>
        <w:t>（满分</w:t>
      </w:r>
      <w:r>
        <w:rPr>
          <w:rFonts w:ascii="Times New Roman" w:eastAsia="仿宋_GB2312" w:hAnsi="Times New Roman" w:cs="Times New Roman"/>
          <w:b/>
          <w:bCs/>
          <w:sz w:val="32"/>
          <w:szCs w:val="32"/>
        </w:rPr>
        <w:t>1</w:t>
      </w:r>
      <w:r>
        <w:rPr>
          <w:rFonts w:ascii="Times New Roman" w:eastAsia="仿宋_GB2312" w:hAnsi="Times New Roman" w:cs="Times New Roman" w:hint="eastAsia"/>
          <w:b/>
          <w:bCs/>
          <w:sz w:val="32"/>
          <w:szCs w:val="32"/>
        </w:rPr>
        <w:t>6</w:t>
      </w:r>
      <w:r>
        <w:rPr>
          <w:rFonts w:ascii="Times New Roman" w:eastAsia="仿宋_GB2312" w:hAnsi="Times New Roman" w:cs="Times New Roman"/>
          <w:b/>
          <w:bCs/>
          <w:sz w:val="32"/>
          <w:szCs w:val="32"/>
        </w:rPr>
        <w:t>分，实得</w:t>
      </w:r>
      <w:r>
        <w:rPr>
          <w:rFonts w:ascii="Times New Roman" w:eastAsia="仿宋_GB2312" w:hAnsi="Times New Roman" w:cs="Times New Roman" w:hint="eastAsia"/>
          <w:b/>
          <w:bCs/>
          <w:sz w:val="32"/>
          <w:szCs w:val="32"/>
        </w:rPr>
        <w:t>8.5</w:t>
      </w:r>
      <w:r>
        <w:rPr>
          <w:rFonts w:ascii="Times New Roman" w:eastAsia="仿宋_GB2312" w:hAnsi="Times New Roman" w:cs="Times New Roman"/>
          <w:b/>
          <w:bCs/>
          <w:sz w:val="32"/>
          <w:szCs w:val="32"/>
        </w:rPr>
        <w:t>分）</w:t>
      </w:r>
    </w:p>
    <w:p w14:paraId="76A24E58" w14:textId="77777777" w:rsidR="00461755" w:rsidRDefault="00B3769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项目立项依据充分，立项程序规范，项目绩效目标与实际工作内容相关，与预算确定的项目资金量的整体情况相匹配。但项目预期产出和效益不符合实际情况，绩效目标编制不合理，不能准确反映项目绩效内容。项目资金编制科学性不足，资金分配不合理。</w:t>
      </w:r>
    </w:p>
    <w:p w14:paraId="4BA48F3D" w14:textId="77777777" w:rsidR="00461755" w:rsidRDefault="00B3769C">
      <w:pPr>
        <w:spacing w:line="560" w:lineRule="exact"/>
        <w:ind w:firstLineChars="200" w:firstLine="643"/>
        <w:outlineLvl w:val="0"/>
        <w:rPr>
          <w:rFonts w:ascii="楷体" w:eastAsia="楷体" w:hAnsi="楷体" w:cs="楷体"/>
          <w:b/>
          <w:bCs/>
          <w:sz w:val="32"/>
          <w:szCs w:val="32"/>
        </w:rPr>
      </w:pPr>
      <w:r>
        <w:rPr>
          <w:rFonts w:ascii="楷体" w:eastAsia="楷体" w:hAnsi="楷体" w:cs="楷体" w:hint="eastAsia"/>
          <w:b/>
          <w:bCs/>
          <w:sz w:val="32"/>
          <w:szCs w:val="32"/>
        </w:rPr>
        <w:t>（二）</w:t>
      </w:r>
      <w:r>
        <w:rPr>
          <w:rFonts w:ascii="楷体" w:eastAsia="楷体" w:hAnsi="楷体" w:cs="楷体"/>
          <w:b/>
          <w:bCs/>
          <w:sz w:val="32"/>
          <w:szCs w:val="32"/>
        </w:rPr>
        <w:t>项目过程情况</w:t>
      </w:r>
      <w:r>
        <w:rPr>
          <w:rFonts w:ascii="Times New Roman" w:eastAsia="仿宋_GB2312" w:hAnsi="Times New Roman" w:cs="Times New Roman"/>
          <w:b/>
          <w:bCs/>
          <w:sz w:val="32"/>
          <w:szCs w:val="32"/>
        </w:rPr>
        <w:t>（满分</w:t>
      </w:r>
      <w:r>
        <w:rPr>
          <w:rFonts w:ascii="Times New Roman" w:eastAsia="仿宋_GB2312" w:hAnsi="Times New Roman" w:cs="Times New Roman" w:hint="eastAsia"/>
          <w:b/>
          <w:bCs/>
          <w:sz w:val="32"/>
          <w:szCs w:val="32"/>
        </w:rPr>
        <w:t>24</w:t>
      </w:r>
      <w:r>
        <w:rPr>
          <w:rFonts w:ascii="Times New Roman" w:eastAsia="仿宋_GB2312" w:hAnsi="Times New Roman" w:cs="Times New Roman"/>
          <w:b/>
          <w:bCs/>
          <w:sz w:val="32"/>
          <w:szCs w:val="32"/>
        </w:rPr>
        <w:t>分，实得</w:t>
      </w:r>
      <w:r>
        <w:rPr>
          <w:rFonts w:ascii="Times New Roman" w:eastAsia="仿宋_GB2312" w:hAnsi="Times New Roman" w:cs="Times New Roman" w:hint="eastAsia"/>
          <w:b/>
          <w:bCs/>
          <w:sz w:val="32"/>
          <w:szCs w:val="32"/>
        </w:rPr>
        <w:t>13.58</w:t>
      </w:r>
      <w:r>
        <w:rPr>
          <w:rFonts w:ascii="Times New Roman" w:eastAsia="仿宋_GB2312" w:hAnsi="Times New Roman" w:cs="Times New Roman"/>
          <w:b/>
          <w:bCs/>
          <w:sz w:val="32"/>
          <w:szCs w:val="32"/>
        </w:rPr>
        <w:t>分）</w:t>
      </w:r>
    </w:p>
    <w:p w14:paraId="0317E803" w14:textId="77777777" w:rsidR="00461755" w:rsidRDefault="00B3769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2023年市级重大项目前期费当年支出624.47万，预算执行率为52.81%，剩余558.03万元当年未形成支出，资金支付具备完整的审批程序和手续，但存在市工信委、南郑区、勉县、西乡县发改局将前期费资金用于日常公用支出的情况，涉及资金共计17.0413万元。制度建设层面，汉台区、镇巴县发改局先后制定印发了重大项目前期费管理办法，为规范项目资金管理，促进重大项落地见效提供制度依据。制度执行层面，市发改委没有按照《关于进一步加强重点项目前期费管理的通知》中第四条“市财政局和市发改委每年将对重点建设项目前期费的使用情况和项目实施情况进行检查”的规定进行日常监督检查，对项目实际情况不掌握不了解。</w:t>
      </w:r>
    </w:p>
    <w:p w14:paraId="472C6E31" w14:textId="77777777" w:rsidR="00461755" w:rsidRDefault="00B3769C">
      <w:pPr>
        <w:spacing w:line="560" w:lineRule="exact"/>
        <w:ind w:firstLineChars="200" w:firstLine="643"/>
        <w:outlineLvl w:val="0"/>
        <w:rPr>
          <w:rFonts w:ascii="楷体" w:eastAsia="楷体" w:hAnsi="楷体" w:cs="楷体"/>
          <w:b/>
          <w:bCs/>
          <w:sz w:val="32"/>
          <w:szCs w:val="32"/>
        </w:rPr>
      </w:pPr>
      <w:r>
        <w:rPr>
          <w:rFonts w:ascii="楷体" w:eastAsia="楷体" w:hAnsi="楷体" w:cs="楷体" w:hint="eastAsia"/>
          <w:b/>
          <w:bCs/>
          <w:sz w:val="32"/>
          <w:szCs w:val="32"/>
        </w:rPr>
        <w:t>（三）</w:t>
      </w:r>
      <w:r>
        <w:rPr>
          <w:rFonts w:ascii="楷体" w:eastAsia="楷体" w:hAnsi="楷体" w:cs="楷体"/>
          <w:b/>
          <w:bCs/>
          <w:sz w:val="32"/>
          <w:szCs w:val="32"/>
        </w:rPr>
        <w:t>项目产出情况</w:t>
      </w:r>
      <w:r>
        <w:rPr>
          <w:rFonts w:ascii="Times New Roman" w:eastAsia="仿宋_GB2312" w:hAnsi="Times New Roman" w:cs="Times New Roman"/>
          <w:b/>
          <w:bCs/>
          <w:sz w:val="32"/>
          <w:szCs w:val="32"/>
        </w:rPr>
        <w:t>（满分</w:t>
      </w:r>
      <w:r>
        <w:rPr>
          <w:rFonts w:ascii="Times New Roman" w:eastAsia="仿宋_GB2312" w:hAnsi="Times New Roman" w:cs="Times New Roman" w:hint="eastAsia"/>
          <w:b/>
          <w:bCs/>
          <w:sz w:val="32"/>
          <w:szCs w:val="32"/>
        </w:rPr>
        <w:t>4</w:t>
      </w:r>
      <w:r>
        <w:rPr>
          <w:rFonts w:ascii="Times New Roman" w:eastAsia="仿宋_GB2312" w:hAnsi="Times New Roman" w:cs="Times New Roman"/>
          <w:b/>
          <w:bCs/>
          <w:sz w:val="32"/>
          <w:szCs w:val="32"/>
        </w:rPr>
        <w:t>0</w:t>
      </w:r>
      <w:r>
        <w:rPr>
          <w:rFonts w:ascii="Times New Roman" w:eastAsia="仿宋_GB2312" w:hAnsi="Times New Roman" w:cs="Times New Roman"/>
          <w:b/>
          <w:bCs/>
          <w:sz w:val="32"/>
          <w:szCs w:val="32"/>
        </w:rPr>
        <w:t>分，实得</w:t>
      </w:r>
      <w:r>
        <w:rPr>
          <w:rFonts w:ascii="Times New Roman" w:eastAsia="仿宋_GB2312" w:hAnsi="Times New Roman" w:cs="Times New Roman" w:hint="eastAsia"/>
          <w:b/>
          <w:bCs/>
          <w:sz w:val="32"/>
          <w:szCs w:val="32"/>
        </w:rPr>
        <w:t>24</w:t>
      </w:r>
      <w:r>
        <w:rPr>
          <w:rFonts w:ascii="Times New Roman" w:eastAsia="仿宋_GB2312" w:hAnsi="Times New Roman" w:cs="Times New Roman"/>
          <w:b/>
          <w:bCs/>
          <w:sz w:val="32"/>
          <w:szCs w:val="32"/>
        </w:rPr>
        <w:t>分）</w:t>
      </w:r>
    </w:p>
    <w:p w14:paraId="0E8C2300" w14:textId="77777777" w:rsidR="00461755" w:rsidRDefault="00B3769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2023年市级重大项目前期费共支持34个项目开展前期规划、可研等工作，截至2024年7月31日，除市发改委、汉台区、城固县的部分项目没有开展外，其余26个项目已完成前期编制工作，报告编制质量符合要求。市城管局、市工信委、市投控集团已经完成项目编制。分县区看各项目单位完成编制工作进度不一，南郑区、洋县、宁强县、略阳县完成程度较高，汉台区、城固县、西乡县完成进度较慢。各项目单位成本控制较好，没有超预算。</w:t>
      </w:r>
    </w:p>
    <w:p w14:paraId="31276F46" w14:textId="77777777" w:rsidR="00461755" w:rsidRDefault="00B3769C">
      <w:pPr>
        <w:numPr>
          <w:ilvl w:val="0"/>
          <w:numId w:val="3"/>
        </w:numPr>
        <w:spacing w:line="560" w:lineRule="exact"/>
        <w:ind w:firstLineChars="200" w:firstLine="643"/>
        <w:outlineLvl w:val="0"/>
        <w:rPr>
          <w:rFonts w:ascii="楷体" w:eastAsia="楷体" w:hAnsi="楷体" w:cs="楷体"/>
          <w:b/>
          <w:bCs/>
          <w:sz w:val="32"/>
          <w:szCs w:val="32"/>
        </w:rPr>
      </w:pPr>
      <w:r>
        <w:rPr>
          <w:rFonts w:ascii="楷体" w:eastAsia="楷体" w:hAnsi="楷体" w:cs="楷体"/>
          <w:b/>
          <w:bCs/>
          <w:sz w:val="32"/>
          <w:szCs w:val="32"/>
        </w:rPr>
        <w:t>项目效益情况</w:t>
      </w:r>
      <w:r>
        <w:rPr>
          <w:rFonts w:ascii="Times New Roman" w:eastAsia="仿宋_GB2312" w:hAnsi="Times New Roman" w:cs="Times New Roman"/>
          <w:b/>
          <w:bCs/>
          <w:sz w:val="32"/>
          <w:szCs w:val="32"/>
        </w:rPr>
        <w:t>（满分</w:t>
      </w:r>
      <w:r>
        <w:rPr>
          <w:rFonts w:ascii="Times New Roman" w:eastAsia="仿宋_GB2312" w:hAnsi="Times New Roman" w:cs="Times New Roman" w:hint="eastAsia"/>
          <w:b/>
          <w:bCs/>
          <w:sz w:val="32"/>
          <w:szCs w:val="32"/>
        </w:rPr>
        <w:t>20</w:t>
      </w:r>
      <w:r>
        <w:rPr>
          <w:rFonts w:ascii="Times New Roman" w:eastAsia="仿宋_GB2312" w:hAnsi="Times New Roman" w:cs="Times New Roman"/>
          <w:b/>
          <w:bCs/>
          <w:sz w:val="32"/>
          <w:szCs w:val="32"/>
        </w:rPr>
        <w:t>分，实得</w:t>
      </w:r>
      <w:r>
        <w:rPr>
          <w:rFonts w:ascii="Times New Roman" w:eastAsia="仿宋_GB2312" w:hAnsi="Times New Roman" w:cs="Times New Roman"/>
          <w:b/>
          <w:bCs/>
          <w:sz w:val="32"/>
          <w:szCs w:val="32"/>
        </w:rPr>
        <w:t>9</w:t>
      </w:r>
      <w:r>
        <w:rPr>
          <w:rFonts w:ascii="Times New Roman" w:eastAsia="仿宋_GB2312" w:hAnsi="Times New Roman" w:cs="Times New Roman"/>
          <w:b/>
          <w:bCs/>
          <w:sz w:val="32"/>
          <w:szCs w:val="32"/>
        </w:rPr>
        <w:t>分）</w:t>
      </w:r>
    </w:p>
    <w:p w14:paraId="50E493B7" w14:textId="77777777" w:rsidR="00461755" w:rsidRDefault="00B3769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2023年市级重大项目前期费投入的绝大部分项目已经完成前期编制工作，目前已开工建设的项目有：洋县大龙养鸡场、东咀砖窑民宿、宁强县禅家岩镇户外极限运动基地建设项目、巴山镇蔬菜保供物流基地建设项目、舒家坝镇宝珠观村农旅融合产业示范园二期建设项目、羌绣非遗文化产业园非遗文化保护传承发展项目。已经建成的有：洋县三产融合示范园、猕猴桃仓储项目、略阳县兴州中药材循环利用项目、两河口中药产业园项目。镇巴县发改局将前期费用于重点项目管理大数据云平台建设，通过手机APP进入云平台能及时查看项目现场和了解施工进度，方便部门调度和推进项目建设，镇巴县的重点项目建设进度在县区中排在前列，该云平台发挥了积极作用。通过对市城管局和六个县区发改局实地访谈了解到，项目单位对于市级前期费的下达比较满意，解决了单位谋划储备项目的经费不足，加快了优质项目落地。由于大部分项目还未落地，该项目整体经济效益还未能体现。</w:t>
      </w:r>
      <w:r>
        <w:rPr>
          <w:rFonts w:ascii="仿宋_GB2312" w:eastAsia="仿宋_GB2312" w:hAnsi="仿宋_GB2312" w:cs="仿宋_GB2312" w:hint="eastAsia"/>
          <w:sz w:val="32"/>
          <w:szCs w:val="32"/>
        </w:rPr>
        <w:lastRenderedPageBreak/>
        <w:t>开工建设的项目能够带动群众就业，促进当地经济发展，具有一定社会效益。</w:t>
      </w:r>
    </w:p>
    <w:p w14:paraId="6C03B1AA" w14:textId="77777777" w:rsidR="00461755" w:rsidRDefault="00B3769C">
      <w:pPr>
        <w:numPr>
          <w:ilvl w:val="0"/>
          <w:numId w:val="4"/>
        </w:numPr>
        <w:spacing w:line="560" w:lineRule="exact"/>
        <w:ind w:firstLineChars="200" w:firstLine="640"/>
        <w:outlineLvl w:val="0"/>
        <w:rPr>
          <w:rFonts w:ascii="Times New Roman" w:eastAsia="黑体" w:hAnsi="Times New Roman" w:cs="Times New Roman"/>
          <w:sz w:val="32"/>
          <w:szCs w:val="32"/>
        </w:rPr>
      </w:pPr>
      <w:r>
        <w:rPr>
          <w:rFonts w:ascii="Times New Roman" w:eastAsia="黑体" w:hAnsi="Times New Roman" w:cs="Times New Roman" w:hint="eastAsia"/>
          <w:sz w:val="32"/>
          <w:szCs w:val="32"/>
        </w:rPr>
        <w:t>主要经验及做法</w:t>
      </w:r>
    </w:p>
    <w:p w14:paraId="64C3ACF5" w14:textId="77777777" w:rsidR="00461755" w:rsidRDefault="00B3769C">
      <w:pPr>
        <w:widowControl/>
        <w:spacing w:line="596" w:lineRule="exact"/>
        <w:ind w:firstLine="645"/>
        <w:jc w:val="left"/>
        <w:rPr>
          <w:rFonts w:ascii="仿宋_GB2312" w:eastAsia="仿宋_GB2312" w:hAnsi="仿宋_GB2312" w:cs="仿宋_GB2312"/>
          <w:sz w:val="32"/>
          <w:szCs w:val="32"/>
        </w:rPr>
      </w:pPr>
      <w:r>
        <w:rPr>
          <w:rFonts w:ascii="Times New Roman" w:eastAsia="仿宋_GB2312" w:hAnsi="Times New Roman" w:cs="Times New Roman" w:hint="eastAsia"/>
          <w:b/>
          <w:bCs/>
          <w:sz w:val="32"/>
          <w:szCs w:val="32"/>
        </w:rPr>
        <w:t>一是部分市级单位和县区资金使用效率高。</w:t>
      </w:r>
      <w:r>
        <w:rPr>
          <w:rFonts w:ascii="仿宋_GB2312" w:eastAsia="仿宋_GB2312" w:hAnsi="仿宋_GB2312" w:cs="仿宋_GB2312" w:hint="eastAsia"/>
          <w:sz w:val="32"/>
          <w:szCs w:val="32"/>
        </w:rPr>
        <w:t>如市城管局、市投控集团、南郑区、略阳县、佛坪县发改局项目资金均于2023年底全部支出，用于项目编制，资金使用效率高，较好地发挥了使用效益。</w:t>
      </w:r>
      <w:r>
        <w:rPr>
          <w:rFonts w:ascii="Times New Roman" w:eastAsia="仿宋_GB2312" w:hAnsi="Times New Roman" w:cs="Times New Roman" w:hint="eastAsia"/>
          <w:b/>
          <w:bCs/>
          <w:sz w:val="32"/>
          <w:szCs w:val="32"/>
        </w:rPr>
        <w:t>二是个别县区及时制定项目管理办法，保障项目实施。</w:t>
      </w:r>
      <w:r>
        <w:rPr>
          <w:rFonts w:ascii="仿宋_GB2312" w:eastAsia="仿宋_GB2312" w:hAnsi="仿宋_GB2312" w:cs="仿宋_GB2312" w:hint="eastAsia"/>
          <w:sz w:val="32"/>
          <w:szCs w:val="32"/>
        </w:rPr>
        <w:t>如2023年汉台区发改局印发了《汉台区重点项目前期费管理办法（试行）》，明确了前期费使用范围、申报原则和程序、资金筹集和拨付下达、资金监管和绩效管理等细则。2017年镇巴县委办、政府办联合制定了《镇巴县项目前期工作经费筹措使用管理办法》，明确了项目前期费的管理坚持多方筹集、提前预支、专户储存、独立核算、责任挂钩、项目核销、滚动使用的原则。</w:t>
      </w:r>
    </w:p>
    <w:p w14:paraId="41CF29EA" w14:textId="77777777" w:rsidR="00461755" w:rsidRDefault="00B3769C">
      <w:pPr>
        <w:numPr>
          <w:ilvl w:val="0"/>
          <w:numId w:val="4"/>
        </w:numPr>
        <w:spacing w:line="560" w:lineRule="exact"/>
        <w:ind w:firstLineChars="200" w:firstLine="640"/>
        <w:outlineLvl w:val="0"/>
        <w:rPr>
          <w:rFonts w:ascii="Times New Roman" w:eastAsia="黑体" w:hAnsi="Times New Roman" w:cs="Times New Roman"/>
          <w:sz w:val="32"/>
          <w:szCs w:val="32"/>
        </w:rPr>
      </w:pPr>
      <w:r>
        <w:rPr>
          <w:rFonts w:ascii="Times New Roman" w:eastAsia="黑体" w:hAnsi="Times New Roman" w:cs="Times New Roman"/>
          <w:sz w:val="32"/>
          <w:szCs w:val="32"/>
        </w:rPr>
        <w:t>存在的问题</w:t>
      </w:r>
    </w:p>
    <w:p w14:paraId="4387D9F6" w14:textId="77777777" w:rsidR="00461755" w:rsidRDefault="00B3769C">
      <w:pPr>
        <w:spacing w:line="560" w:lineRule="exact"/>
        <w:ind w:firstLineChars="200" w:firstLine="643"/>
        <w:outlineLvl w:val="0"/>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（一）专项资金管理不够规范</w:t>
      </w:r>
    </w:p>
    <w:p w14:paraId="4DC1980B" w14:textId="77777777" w:rsidR="00461755" w:rsidRDefault="00B3769C">
      <w:pPr>
        <w:spacing w:line="56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hint="eastAsia"/>
          <w:b/>
          <w:bCs/>
          <w:sz w:val="32"/>
          <w:szCs w:val="32"/>
        </w:rPr>
        <w:t>1.</w:t>
      </w:r>
      <w:r>
        <w:rPr>
          <w:rFonts w:ascii="Times New Roman" w:eastAsia="仿宋_GB2312" w:hAnsi="Times New Roman" w:cs="Times New Roman" w:hint="eastAsia"/>
          <w:b/>
          <w:bCs/>
          <w:sz w:val="32"/>
          <w:szCs w:val="32"/>
        </w:rPr>
        <w:t>资金分配不合理。</w:t>
      </w:r>
    </w:p>
    <w:p w14:paraId="16F2CA7F" w14:textId="77777777" w:rsidR="00461755" w:rsidRDefault="00B3769C">
      <w:pPr>
        <w:pStyle w:val="a5"/>
        <w:spacing w:line="560" w:lineRule="exact"/>
        <w:ind w:firstLineChars="200" w:firstLine="640"/>
        <w:rPr>
          <w:lang w:val="en-US"/>
        </w:rPr>
      </w:pPr>
      <w:r>
        <w:rPr>
          <w:rFonts w:hint="eastAsia"/>
          <w:lang w:val="en-US"/>
        </w:rPr>
        <w:t>市发改委作为项目主管部门在分配市级部门、县区资金时，未对项目的具体实施情况进行摸底、审查，对县区储备谋划项目底数掌握不清，资金分配不合理。如2023年市级重大项目前期费共下达资金1182.5万，其中：440万元安排给11个县区共25个项目，除南郑区发改局向市发改委打过专题报告申请解决项目前期经费外，其他县区均未提交申请；</w:t>
      </w:r>
      <w:r>
        <w:rPr>
          <w:rFonts w:hint="eastAsia"/>
          <w:lang w:val="en-US"/>
        </w:rPr>
        <w:lastRenderedPageBreak/>
        <w:t>下达各县区资金在20-50万元不等，存在“撒胡椒面”的情况。从实际支出结果来看，南郑区、略阳县、佛坪县2023年底已完成支出，城固县、西乡县截至评价日依然没有完成支出或未支出，市发改委在分配县区资金时未充分考虑县区实际需求的差异，项目资金分配不合理。</w:t>
      </w:r>
    </w:p>
    <w:p w14:paraId="7B4F1E35" w14:textId="77777777" w:rsidR="00461755" w:rsidRDefault="00B3769C">
      <w:pPr>
        <w:spacing w:line="560"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hint="eastAsia"/>
          <w:b/>
          <w:bCs/>
          <w:sz w:val="32"/>
          <w:szCs w:val="32"/>
        </w:rPr>
        <w:t>2.</w:t>
      </w:r>
      <w:r>
        <w:rPr>
          <w:rFonts w:ascii="Times New Roman" w:eastAsia="仿宋_GB2312" w:hAnsi="Times New Roman" w:cs="Times New Roman" w:hint="eastAsia"/>
          <w:b/>
          <w:bCs/>
          <w:sz w:val="32"/>
          <w:szCs w:val="32"/>
        </w:rPr>
        <w:t>前期费支出比例低，年终结余大。</w:t>
      </w:r>
    </w:p>
    <w:p w14:paraId="2546E0AD" w14:textId="77777777" w:rsidR="00461755" w:rsidRDefault="00B3769C">
      <w:pPr>
        <w:pStyle w:val="a5"/>
        <w:spacing w:line="560" w:lineRule="exact"/>
        <w:ind w:firstLineChars="200" w:firstLine="640"/>
        <w:rPr>
          <w:lang w:val="en-US"/>
        </w:rPr>
      </w:pPr>
      <w:r>
        <w:rPr>
          <w:rFonts w:hint="eastAsia"/>
          <w:lang w:val="en-US"/>
        </w:rPr>
        <w:t>从实地调研情况看，市财政局、市发改委在2023年10月11日下达4个市级部门和11个县区市级重大项目前期费1182.5万元，截至2023年12月31日，市发改委、市工信委、市城管局、市投控集团、南郑区发改局、西乡县发改局、略阳县发改局、佛坪县发改局等完成支出624.47万元外，资金支付率为52.81%，剩余558.03万元当年未支出，年终结余大。2023年底未支出的前期费到评价日2024年7月20日止，市发改委34.8939万元、西乡县发改局29.8325万元、城固县发改局45万元合计109.8964万元仍结余在账上，尚未形成实际支出。</w:t>
      </w:r>
    </w:p>
    <w:p w14:paraId="2B26056C" w14:textId="77777777" w:rsidR="00461755" w:rsidRDefault="00B3769C">
      <w:pPr>
        <w:spacing w:line="560" w:lineRule="exact"/>
        <w:ind w:firstLineChars="200" w:firstLine="643"/>
        <w:outlineLvl w:val="0"/>
        <w:rPr>
          <w:rFonts w:ascii="Times New Roman" w:hAnsi="Times New Roman" w:cs="Times New Roman"/>
          <w:b/>
          <w:bCs/>
          <w:sz w:val="32"/>
          <w:szCs w:val="32"/>
        </w:rPr>
      </w:pPr>
      <w:r>
        <w:rPr>
          <w:rFonts w:ascii="Times New Roman" w:eastAsia="楷体" w:hAnsi="Times New Roman" w:cs="Times New Roman" w:hint="eastAsia"/>
          <w:b/>
          <w:bCs/>
          <w:sz w:val="32"/>
          <w:szCs w:val="32"/>
        </w:rPr>
        <w:t>3.</w:t>
      </w:r>
      <w:r>
        <w:rPr>
          <w:rFonts w:ascii="Times New Roman" w:eastAsia="楷体" w:hAnsi="Times New Roman" w:cs="Times New Roman" w:hint="eastAsia"/>
          <w:b/>
          <w:bCs/>
          <w:sz w:val="32"/>
          <w:szCs w:val="32"/>
        </w:rPr>
        <w:t>项目财务管理不规范。</w:t>
      </w:r>
      <w:r>
        <w:rPr>
          <w:rFonts w:ascii="Times New Roman" w:eastAsia="楷体" w:hAnsi="Times New Roman" w:cs="Times New Roman" w:hint="eastAsia"/>
          <w:b/>
          <w:bCs/>
          <w:sz w:val="32"/>
          <w:szCs w:val="32"/>
        </w:rPr>
        <w:t xml:space="preserve"> </w:t>
      </w:r>
    </w:p>
    <w:p w14:paraId="6CAAB907" w14:textId="77777777" w:rsidR="00461755" w:rsidRDefault="00B3769C">
      <w:pPr>
        <w:pStyle w:val="a3"/>
        <w:jc w:val="both"/>
        <w:rPr>
          <w:rFonts w:ascii="仿宋_GB2312" w:eastAsia="仿宋_GB2312" w:hAnsi="仿宋_GB2312" w:cs="仿宋_GB2312"/>
          <w:sz w:val="32"/>
          <w:szCs w:val="32"/>
        </w:rPr>
      </w:pPr>
      <w:r>
        <w:rPr>
          <w:rFonts w:hint="eastAsia"/>
        </w:rPr>
        <w:t xml:space="preserve">     </w:t>
      </w:r>
      <w:r>
        <w:rPr>
          <w:rFonts w:ascii="Times New Roman" w:eastAsia="仿宋_GB2312" w:hAnsi="Times New Roman" w:cs="Times New Roman" w:hint="eastAsia"/>
          <w:sz w:val="32"/>
          <w:szCs w:val="32"/>
        </w:rPr>
        <w:t xml:space="preserve"> </w:t>
      </w:r>
      <w:r>
        <w:rPr>
          <w:rFonts w:ascii="仿宋_GB2312" w:eastAsia="仿宋_GB2312" w:hAnsi="仿宋_GB2312" w:cs="仿宋_GB2312" w:hint="eastAsia"/>
          <w:sz w:val="32"/>
          <w:szCs w:val="32"/>
        </w:rPr>
        <w:t>市工信委和部分县区发改局将项目资金用于单位公车运行维护、住宿费、差旅费报销、办公耗材购置等支出，存在挤占挪用的问题。市工信委将4.246078万元用于支付省厅挂职领导住宿费、汉运局租车费；南郑区发改局将4.716万元用于支付公务用车、职工驻村补贴；勉县发改局将5.9018万元用于支付单位电费、差旅费和保洁工资；西乡县发改局将2.1775万元用于支付计算机办公耗材与设备维修。</w:t>
      </w:r>
    </w:p>
    <w:p w14:paraId="6C89359B" w14:textId="77777777" w:rsidR="00461755" w:rsidRDefault="00B3769C">
      <w:pPr>
        <w:spacing w:line="560" w:lineRule="exact"/>
        <w:ind w:firstLineChars="200" w:firstLine="643"/>
        <w:outlineLvl w:val="0"/>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lastRenderedPageBreak/>
        <w:t>（二）项目监管不到位</w:t>
      </w:r>
    </w:p>
    <w:p w14:paraId="66DA6315" w14:textId="77777777" w:rsidR="00461755" w:rsidRDefault="00B3769C">
      <w:pPr>
        <w:pStyle w:val="a5"/>
        <w:spacing w:line="560" w:lineRule="exact"/>
        <w:ind w:firstLineChars="200" w:firstLine="640"/>
        <w:rPr>
          <w:lang w:val="en-US"/>
        </w:rPr>
      </w:pPr>
      <w:r>
        <w:rPr>
          <w:rFonts w:hint="eastAsia"/>
          <w:lang w:val="en-US"/>
        </w:rPr>
        <w:t>一是市发改委、市财政局没有对项目前期费使用情况和项目落地实施情况进行监督检查，未严格执行《汉中市财政局 进一步汉中市发展和改革委员会关于进一步加强重点项目前期费管理的通知》（汉财办建〔2016〕34号）第四条“市财政局和市发改委每年将对重点建设项目前期费的使用情况和项目实施情况进行检查”的规定。二是市发改委提供的前期费使用情况表与实际不符。如市发改委提供的前期费使用情况表显示，下达勉县的30万元前期费已用于勉县金属科创产业园项目可研设计编制，但实地调研发现该项目使用的是2023年陕南发展专项资金安排的前期费，勉县市级重大项目前期费实际已用于勉县十四五中期重大产业链项目谋划储备库编制。</w:t>
      </w:r>
    </w:p>
    <w:p w14:paraId="63180C7F" w14:textId="77777777" w:rsidR="00461755" w:rsidRDefault="00B3769C">
      <w:pPr>
        <w:spacing w:line="560" w:lineRule="exact"/>
        <w:ind w:firstLineChars="200" w:firstLine="643"/>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（三）绩效管理意识不强</w:t>
      </w:r>
      <w:r>
        <w:rPr>
          <w:rFonts w:ascii="Times New Roman" w:eastAsia="楷体" w:hAnsi="Times New Roman" w:cs="Times New Roman" w:hint="eastAsia"/>
          <w:b/>
          <w:bCs/>
          <w:sz w:val="32"/>
          <w:szCs w:val="32"/>
        </w:rPr>
        <w:t xml:space="preserve"> </w:t>
      </w:r>
    </w:p>
    <w:p w14:paraId="2CA4453F" w14:textId="77777777" w:rsidR="00461755" w:rsidRDefault="00B3769C">
      <w:pPr>
        <w:pStyle w:val="a3"/>
        <w:rPr>
          <w:rFonts w:ascii="仿宋_GB2312" w:eastAsia="仿宋_GB2312" w:hAnsi="仿宋_GB2312" w:cs="仿宋_GB2312"/>
          <w:sz w:val="32"/>
          <w:szCs w:val="32"/>
        </w:rPr>
      </w:pPr>
      <w:r>
        <w:rPr>
          <w:rFonts w:hint="eastAsia"/>
        </w:rPr>
        <w:t xml:space="preserve">      </w:t>
      </w:r>
      <w:r>
        <w:rPr>
          <w:rFonts w:ascii="仿宋_GB2312" w:eastAsia="仿宋_GB2312" w:hAnsi="仿宋_GB2312" w:cs="仿宋_GB2312" w:hint="eastAsia"/>
          <w:sz w:val="32"/>
          <w:szCs w:val="32"/>
        </w:rPr>
        <w:t>一是市发改委对本次评价工作不重视不支持，截至7月31日仍不提供其自身负责项目前期费的业务和财务相关资料，严重影响评价组项目评价进度及效果。二是市发改委、部分县区发改局绩效目标编制质量不高。如绩效目标设置过于简单；产出指标中的“数量指标”取值偏低；时效指标中的“项目开工率”未量化；经济效益指标值虚高，不符合项目实际；社会效益指标内容与项目关联度不高；产出与效益指标与实际不符等。</w:t>
      </w:r>
    </w:p>
    <w:p w14:paraId="350144F3" w14:textId="77777777" w:rsidR="00461755" w:rsidRDefault="00B3769C">
      <w:pPr>
        <w:spacing w:line="560" w:lineRule="exact"/>
        <w:ind w:firstLineChars="200" w:firstLine="640"/>
        <w:outlineLvl w:val="0"/>
        <w:rPr>
          <w:rFonts w:ascii="Times New Roman" w:eastAsia="黑体" w:hAnsi="Times New Roman" w:cs="Times New Roman"/>
          <w:sz w:val="32"/>
          <w:szCs w:val="32"/>
        </w:rPr>
      </w:pPr>
      <w:r>
        <w:rPr>
          <w:rFonts w:ascii="Times New Roman" w:eastAsia="黑体" w:hAnsi="Times New Roman" w:cs="Times New Roman" w:hint="eastAsia"/>
          <w:sz w:val="32"/>
          <w:szCs w:val="32"/>
        </w:rPr>
        <w:t>六、</w:t>
      </w:r>
      <w:r>
        <w:rPr>
          <w:rFonts w:ascii="Times New Roman" w:eastAsia="黑体" w:hAnsi="Times New Roman" w:cs="Times New Roman"/>
          <w:sz w:val="32"/>
          <w:szCs w:val="32"/>
        </w:rPr>
        <w:t>有关建议</w:t>
      </w:r>
    </w:p>
    <w:p w14:paraId="0CBEE790" w14:textId="77777777" w:rsidR="00461755" w:rsidRDefault="00B3769C">
      <w:pPr>
        <w:spacing w:line="560" w:lineRule="exact"/>
        <w:ind w:firstLineChars="200" w:firstLine="643"/>
        <w:outlineLvl w:val="0"/>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lastRenderedPageBreak/>
        <w:t>（一）完善前期费管理办法，规范支出管理，提高资金使用效率</w:t>
      </w:r>
    </w:p>
    <w:p w14:paraId="12C62528" w14:textId="77777777" w:rsidR="00461755" w:rsidRDefault="00B3769C">
      <w:pPr>
        <w:spacing w:line="560" w:lineRule="exact"/>
        <w:ind w:firstLineChars="200" w:firstLine="643"/>
        <w:rPr>
          <w:rFonts w:ascii="仿宋_GB2312" w:eastAsia="仿宋_GB2312" w:hAnsi="仿宋_GB2312" w:cs="仿宋_GB2312"/>
          <w:sz w:val="32"/>
          <w:szCs w:val="32"/>
        </w:rPr>
      </w:pPr>
      <w:r>
        <w:rPr>
          <w:rFonts w:ascii="Times New Roman" w:eastAsia="仿宋_GB2312" w:hAnsi="Times New Roman" w:cs="Times New Roman" w:hint="eastAsia"/>
          <w:b/>
          <w:bCs/>
          <w:sz w:val="32"/>
          <w:szCs w:val="32"/>
        </w:rPr>
        <w:t>一是完善前期费管理办法，合理分配项目资金。</w:t>
      </w:r>
      <w:r>
        <w:rPr>
          <w:rFonts w:ascii="仿宋_GB2312" w:eastAsia="仿宋_GB2312" w:hAnsi="仿宋_GB2312" w:cs="仿宋_GB2312" w:hint="eastAsia"/>
          <w:sz w:val="32"/>
          <w:szCs w:val="32"/>
        </w:rPr>
        <w:t>建议市财政局和市发改委结合实际情况修订完善前期费管理办法，目前执行的前期费管理办法是2016年制定的，部分规定不够细致、明确，需进一步细化前期费申报、审核、监管以及增加绩效管理方面的内容，并将绩效评价结果作为完善前期费管理和前期费资金安排的重要决策依据。建议市发改委在下达项目资金时，对县区储备谋划项目实际情况进行认真调查摸底，及时全面掌握情况并根据县区储备谋划项目的数量及规模来进行资金分配，避免平均分配的情况发生，做到“项目等资金”。</w:t>
      </w:r>
    </w:p>
    <w:p w14:paraId="568C1897" w14:textId="77777777" w:rsidR="00461755" w:rsidRDefault="00B3769C">
      <w:pPr>
        <w:pStyle w:val="aa"/>
        <w:spacing w:beforeAutospacing="0" w:afterAutospacing="0" w:line="560" w:lineRule="exact"/>
        <w:ind w:firstLineChars="200" w:firstLine="643"/>
        <w:rPr>
          <w:rFonts w:ascii="仿宋_GB2312" w:eastAsia="仿宋_GB2312" w:hAnsi="仿宋_GB2312" w:cs="仿宋_GB2312"/>
          <w:kern w:val="2"/>
          <w:sz w:val="32"/>
          <w:szCs w:val="32"/>
        </w:rPr>
      </w:pPr>
      <w:r>
        <w:rPr>
          <w:rFonts w:ascii="Times New Roman" w:eastAsia="仿宋_GB2312" w:hAnsi="Times New Roman" w:cs="Times New Roman" w:hint="eastAsia"/>
          <w:b/>
          <w:bCs/>
          <w:sz w:val="32"/>
          <w:szCs w:val="32"/>
        </w:rPr>
        <w:t>二是加快资金支出进度，提升资金使用效益。</w:t>
      </w:r>
      <w:r>
        <w:rPr>
          <w:rFonts w:ascii="仿宋_GB2312" w:eastAsia="仿宋_GB2312" w:hAnsi="仿宋_GB2312" w:cs="仿宋_GB2312" w:hint="eastAsia"/>
          <w:kern w:val="2"/>
          <w:sz w:val="32"/>
          <w:szCs w:val="32"/>
        </w:rPr>
        <w:t>建议城固县、西乡县发改局加快项目谋划进度，待项目确定后及时向县财政局申请拨付资金，前期费拨付到项目单位后，应及早完成项目规划编制，切实提升项目资金使用效率。</w:t>
      </w:r>
    </w:p>
    <w:p w14:paraId="57984760" w14:textId="77777777" w:rsidR="00461755" w:rsidRDefault="00B3769C">
      <w:pPr>
        <w:spacing w:line="560" w:lineRule="exact"/>
        <w:ind w:firstLineChars="200" w:firstLine="643"/>
        <w:outlineLvl w:val="0"/>
        <w:rPr>
          <w:rFonts w:ascii="仿宋_GB2312" w:eastAsia="仿宋_GB2312" w:hAnsi="仿宋_GB2312" w:cs="仿宋_GB2312"/>
          <w:sz w:val="32"/>
          <w:szCs w:val="32"/>
        </w:rPr>
      </w:pPr>
      <w:r>
        <w:rPr>
          <w:rFonts w:ascii="Times New Roman" w:eastAsia="仿宋_GB2312" w:hAnsi="Times New Roman" w:cs="Times New Roman" w:hint="eastAsia"/>
          <w:b/>
          <w:bCs/>
          <w:sz w:val="32"/>
          <w:szCs w:val="32"/>
        </w:rPr>
        <w:t>三是规范资金管理，确保专款专用。</w:t>
      </w:r>
      <w:r>
        <w:rPr>
          <w:rFonts w:ascii="仿宋_GB2312" w:eastAsia="仿宋_GB2312" w:hAnsi="仿宋_GB2312" w:cs="仿宋_GB2312" w:hint="eastAsia"/>
          <w:sz w:val="32"/>
          <w:szCs w:val="32"/>
        </w:rPr>
        <w:t>建议各项目主管和实施单位要进一步规范前期费资金管理，支出必须严格按照《汉中市财政局 汉中市发展和改革委员会关于进一步加强重点项目前期费管理的通知》要求执行。支出应用在：勘察费、规划编制费、设计费、研究试验费、可行性研究费、前期工作的标底编制及招标管理费、概算审查费、咨询评审费、技术图书资料费、与前期工作相关的差旅交通费等管理费用，不得随意更改项目和资金使用方向，不得以任何理由发生与</w:t>
      </w:r>
      <w:r>
        <w:rPr>
          <w:rFonts w:ascii="仿宋_GB2312" w:eastAsia="仿宋_GB2312" w:hAnsi="仿宋_GB2312" w:cs="仿宋_GB2312" w:hint="eastAsia"/>
          <w:sz w:val="32"/>
          <w:szCs w:val="32"/>
        </w:rPr>
        <w:lastRenderedPageBreak/>
        <w:t>项目前期工作无关的支出，确保专款专用。针对已发现的问题资金17.061375万元，建议市发改委联合市财政局下发整改通知，要求市工信委和三个县区发改局限期将被挤占挪用的资金全部归还原渠道并上缴同级财政，确保专项资金的安全完整和专款专用。</w:t>
      </w:r>
    </w:p>
    <w:p w14:paraId="07F704A5" w14:textId="77777777" w:rsidR="00461755" w:rsidRDefault="00B3769C">
      <w:pPr>
        <w:spacing w:line="560" w:lineRule="exact"/>
        <w:ind w:firstLineChars="200" w:firstLine="643"/>
        <w:outlineLvl w:val="0"/>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（二）强化项目日常监管，切实提升工作质效</w:t>
      </w:r>
    </w:p>
    <w:p w14:paraId="2A79EE75" w14:textId="77777777" w:rsidR="00461755" w:rsidRDefault="00B3769C">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建议市发改委在重大项目前期费使用过程中，定期或不定期对前期费使用情况进行督查检查，对前期工作完成较好、资金支出质量较高的单位予以通报表扬，对前期工作完成进度较慢、资金支出质量较差的单位实行重点督办，帮助其分析原因、及时整改，并将督查整改情况作为下年度安排前期费预算资金的依据，倒逼资金使用单位规范前期费使用管理，切实提高财政资金使用效益，进一步履行好市级主管部门的监管职责。二是建议市县财政部门要加强对前期费项目的绩效监控，对项目资金支出进度慢的单位进行督促，对下达时间在12个月以上仍未使用的前期费要坚决收回并调整用途。</w:t>
      </w:r>
    </w:p>
    <w:p w14:paraId="22BDC10B" w14:textId="77777777" w:rsidR="00461755" w:rsidRDefault="00B3769C">
      <w:pPr>
        <w:pStyle w:val="aa"/>
        <w:spacing w:beforeAutospacing="0" w:afterAutospacing="0" w:line="560" w:lineRule="exact"/>
        <w:ind w:firstLineChars="200" w:firstLine="643"/>
        <w:rPr>
          <w:rFonts w:ascii="Times New Roman" w:hAnsi="Times New Roman" w:cs="Times New Roman"/>
          <w:b/>
          <w:bCs/>
          <w:kern w:val="2"/>
          <w:sz w:val="32"/>
          <w:szCs w:val="32"/>
        </w:rPr>
      </w:pPr>
      <w:r>
        <w:rPr>
          <w:rFonts w:ascii="Times New Roman" w:eastAsia="楷体" w:hAnsi="Times New Roman" w:cs="Times New Roman" w:hint="eastAsia"/>
          <w:b/>
          <w:bCs/>
          <w:sz w:val="32"/>
          <w:szCs w:val="32"/>
        </w:rPr>
        <w:t>（三）增强绩效管理意识，提升绩效目标编制质量</w:t>
      </w:r>
    </w:p>
    <w:p w14:paraId="64A381DC" w14:textId="77777777" w:rsidR="00461755" w:rsidRDefault="00B3769C">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建议市财政局要强化本次绩效评价结果应用。鉴于2023年市级重大项目前期费绩效评价等次为差，市财政局年底对部门（单位）绩效管理工作进行考核时，应对市发改委进行相应扣分。同时，要对2025年市级重大项目前</w:t>
      </w:r>
      <w:r>
        <w:rPr>
          <w:rFonts w:ascii="仿宋_GB2312" w:eastAsia="仿宋_GB2312" w:hAnsi="仿宋_GB2312" w:cs="仿宋_GB2312" w:hint="eastAsia"/>
          <w:sz w:val="32"/>
          <w:szCs w:val="32"/>
        </w:rPr>
        <w:lastRenderedPageBreak/>
        <w:t>期费预算额度进行大幅调减，倒逼市发改委落实绩效管理主体责任，提高资金使用效益。二是市发改委要增强绩效管理意识，落实全过程绩效理念，改进项目管理水平。在审批项目时，要加强对项目的摸底与把关；在项目实施中期，要定期进行检查，对进度快的、质量好的要褒奖，对进度慢的、质量差的要督促整改；项目完成后要进行验收评比，切实提升项目质效。三是建议市发改委和部分县区发改局要提升绩效目标编制质量。加强对项目单位绩效目标编制的培训，提升业务科室的绩效管理认识，将具体业务分类细化到绩效指标中，结合项目实际情况和历史数据、行业标准合理设置目标值，真实全面反映项目绩效。同时加强业财融合，打破科室间的信息壁垒，将项目产出、效益数据与财务成本等有机结合，量化成可衡量、可考核的指标，全面提升绩效目标编制质量。</w:t>
      </w:r>
    </w:p>
    <w:p w14:paraId="6FB9BDF8" w14:textId="77777777" w:rsidR="00461755" w:rsidRDefault="00461755">
      <w:pPr>
        <w:pStyle w:val="a3"/>
        <w:ind w:firstLineChars="200" w:firstLine="640"/>
        <w:rPr>
          <w:rFonts w:ascii="仿宋_GB2312" w:eastAsia="仿宋_GB2312" w:hAnsi="仿宋_GB2312" w:cs="仿宋_GB2312"/>
          <w:sz w:val="32"/>
          <w:szCs w:val="32"/>
        </w:rPr>
      </w:pPr>
    </w:p>
    <w:sectPr w:rsidR="00461755">
      <w:footerReference w:type="default" r:id="rId23"/>
      <w:pgSz w:w="11906" w:h="16838"/>
      <w:pgMar w:top="1440" w:right="1800" w:bottom="1440" w:left="1800" w:header="851" w:footer="992" w:gutter="0"/>
      <w:cols w:space="720"/>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0D8370" w14:textId="77777777" w:rsidR="002C0819" w:rsidRDefault="002C0819">
      <w:r>
        <w:separator/>
      </w:r>
    </w:p>
  </w:endnote>
  <w:endnote w:type="continuationSeparator" w:id="0">
    <w:p w14:paraId="611671D3" w14:textId="77777777" w:rsidR="002C0819" w:rsidRDefault="002C0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
    <w:altName w:val="方正楷体_GBK"/>
    <w:panose1 w:val="02010609060101010101"/>
    <w:charset w:val="86"/>
    <w:family w:val="modern"/>
    <w:pitch w:val="fixed"/>
    <w:sig w:usb0="800002BF" w:usb1="38CF7CFA" w:usb2="00000016"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仿宋_GBK">
    <w:altName w:val="微软雅黑"/>
    <w:charset w:val="86"/>
    <w:family w:val="auto"/>
    <w:pitch w:val="default"/>
    <w:sig w:usb0="00000001" w:usb1="080E0000" w:usb2="00000000" w:usb3="00000000" w:csb0="00040000" w:csb1="00000000"/>
  </w:font>
  <w:font w:name="方正小标宋_GBK">
    <w:altName w:val="微软雅黑"/>
    <w:charset w:val="86"/>
    <w:family w:val="auto"/>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12418" w14:textId="77777777" w:rsidR="00461755" w:rsidRDefault="00B3769C">
    <w:pPr>
      <w:pStyle w:val="a8"/>
      <w:rPr>
        <w:rFonts w:ascii="仿宋" w:eastAsia="仿宋" w:hAnsi="仿宋" w:cs="仿宋"/>
        <w:sz w:val="16"/>
        <w:szCs w:val="22"/>
      </w:rPr>
    </w:pPr>
    <w:r>
      <w:rPr>
        <w:rFonts w:ascii="仿宋" w:eastAsia="仿宋" w:hAnsi="仿宋" w:cs="仿宋" w:hint="eastAsia"/>
        <w:noProof/>
        <w:sz w:val="16"/>
        <w:szCs w:val="22"/>
      </w:rPr>
      <mc:AlternateContent>
        <mc:Choice Requires="wps">
          <w:drawing>
            <wp:anchor distT="0" distB="0" distL="114300" distR="114300" simplePos="0" relativeHeight="251658240" behindDoc="0" locked="0" layoutInCell="1" allowOverlap="1" wp14:anchorId="4045EBC6" wp14:editId="5572D0E9">
              <wp:simplePos x="0" y="0"/>
              <wp:positionH relativeFrom="margin">
                <wp:align>center</wp:align>
              </wp:positionH>
              <wp:positionV relativeFrom="paragraph">
                <wp:posOffset>0</wp:posOffset>
              </wp:positionV>
              <wp:extent cx="103505" cy="139700"/>
              <wp:effectExtent l="0" t="0" r="0" b="0"/>
              <wp:wrapNone/>
              <wp:docPr id="1" name="文本框 3"/>
              <wp:cNvGraphicFramePr/>
              <a:graphic xmlns:a="http://schemas.openxmlformats.org/drawingml/2006/main">
                <a:graphicData uri="http://schemas.microsoft.com/office/word/2010/wordprocessingShape">
                  <wps:wsp>
                    <wps:cNvSpPr/>
                    <wps:spPr>
                      <a:xfrm>
                        <a:off x="0" y="0"/>
                        <a:ext cx="103505" cy="139700"/>
                      </a:xfrm>
                      <a:prstGeom prst="rect">
                        <a:avLst/>
                      </a:prstGeom>
                      <a:noFill/>
                      <a:ln>
                        <a:noFill/>
                      </a:ln>
                    </wps:spPr>
                    <wps:txbx>
                      <w:txbxContent>
                        <w:p w14:paraId="30C56D83" w14:textId="77777777" w:rsidR="00461755" w:rsidRDefault="00461755">
                          <w:pPr>
                            <w:pStyle w:val="a8"/>
                          </w:pPr>
                        </w:p>
                      </w:txbxContent>
                    </wps:txbx>
                    <wps:bodyPr wrap="none" lIns="0" tIns="0" rIns="0" bIns="0" upright="1">
                      <a:spAutoFit/>
                    </wps:bodyPr>
                  </wps:wsp>
                </a:graphicData>
              </a:graphic>
            </wp:anchor>
          </w:drawing>
        </mc:Choice>
        <mc:Fallback xmlns:wpsCustomData="http://www.wps.cn/officeDocument/2013/wpsCustomData">
          <w:pict>
            <v:rect id="文本框 3" o:spid="_x0000_s1026" o:spt="1" style="position:absolute;left:0pt;margin-top:0pt;height:11pt;width:8.15pt;mso-position-horizontal:center;mso-position-horizontal-relative:margin;mso-wrap-style:none;z-index:251658240;mso-width-relative:page;mso-height-relative:page;" filled="f" stroked="f" coordsize="21600,21600" o:gfxdata="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WAAAAZHJzL1BLAQIU&#10;ABQAAAAIAIdO4kDXkimX0QAAAAMBAAAPAAAAAAAAAAEAIAAAADgAAABkcnMvZG93bnJldi54bWxQ&#10;SwECFAAUAAAACACHTuJAyvvDZ68BAABCAwAADgAAAAAAAAABACAAAAA2AQAAZHJzL2Uyb0RvYy54&#10;bWxQSwUGAAAAAAYABgBZAQAAVwUAAAAA&#10;">
              <v:fill on="f" focussize="0,0"/>
              <v:stroke on="f"/>
              <v:imagedata o:title=""/>
              <o:lock v:ext="edit" aspectratio="f"/>
              <v:textbox inset="0mm,0mm,0mm,0mm" style="mso-fit-shape-to-text:t;">
                <w:txbxContent>
                  <w:p>
                    <w:pPr>
                      <w:pStyle w:val="6"/>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2DF24" w14:textId="77777777" w:rsidR="00461755" w:rsidRDefault="0046175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7A2BB4" w14:textId="77777777" w:rsidR="002C0819" w:rsidRDefault="002C0819">
      <w:r>
        <w:separator/>
      </w:r>
    </w:p>
  </w:footnote>
  <w:footnote w:type="continuationSeparator" w:id="0">
    <w:p w14:paraId="0EAF45EB" w14:textId="77777777" w:rsidR="002C0819" w:rsidRDefault="002C08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8D0C154"/>
    <w:multiLevelType w:val="singleLevel"/>
    <w:tmpl w:val="88D0C154"/>
    <w:lvl w:ilvl="0">
      <w:start w:val="4"/>
      <w:numFmt w:val="chineseCounting"/>
      <w:suff w:val="nothing"/>
      <w:lvlText w:val="%1、"/>
      <w:lvlJc w:val="left"/>
      <w:rPr>
        <w:rFonts w:hint="eastAsia"/>
      </w:rPr>
    </w:lvl>
  </w:abstractNum>
  <w:abstractNum w:abstractNumId="1" w15:restartNumberingAfterBreak="0">
    <w:nsid w:val="8DD7CDD1"/>
    <w:multiLevelType w:val="singleLevel"/>
    <w:tmpl w:val="8DD7CDD1"/>
    <w:lvl w:ilvl="0">
      <w:start w:val="5"/>
      <w:numFmt w:val="decimal"/>
      <w:suff w:val="space"/>
      <w:lvlText w:val="%1."/>
      <w:lvlJc w:val="left"/>
    </w:lvl>
  </w:abstractNum>
  <w:abstractNum w:abstractNumId="2" w15:restartNumberingAfterBreak="0">
    <w:nsid w:val="DAA59B78"/>
    <w:multiLevelType w:val="singleLevel"/>
    <w:tmpl w:val="DAA59B78"/>
    <w:lvl w:ilvl="0">
      <w:start w:val="4"/>
      <w:numFmt w:val="chineseCounting"/>
      <w:suff w:val="nothing"/>
      <w:lvlText w:val="（%1）"/>
      <w:lvlJc w:val="left"/>
      <w:rPr>
        <w:rFonts w:hint="eastAsia"/>
      </w:rPr>
    </w:lvl>
  </w:abstractNum>
  <w:abstractNum w:abstractNumId="3" w15:restartNumberingAfterBreak="0">
    <w:nsid w:val="7F9E5A8F"/>
    <w:multiLevelType w:val="singleLevel"/>
    <w:tmpl w:val="7F9E5A8F"/>
    <w:lvl w:ilvl="0">
      <w:start w:val="4"/>
      <w:numFmt w:val="chineseCounting"/>
      <w:suff w:val="space"/>
      <w:lvlText w:val="第%1部分"/>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105"/>
  <w:drawingGridVerticalSpacing w:val="315"/>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AA6038"/>
    <w:rsid w:val="BB88F0A8"/>
    <w:rsid w:val="EBF78814"/>
    <w:rsid w:val="F7BD3AEF"/>
    <w:rsid w:val="F8FD5CB9"/>
    <w:rsid w:val="FABFD570"/>
    <w:rsid w:val="FD6C7B32"/>
    <w:rsid w:val="FDB6B76E"/>
    <w:rsid w:val="000255E9"/>
    <w:rsid w:val="0004466E"/>
    <w:rsid w:val="00050E89"/>
    <w:rsid w:val="000B4D25"/>
    <w:rsid w:val="00112112"/>
    <w:rsid w:val="001218AD"/>
    <w:rsid w:val="00146787"/>
    <w:rsid w:val="00164001"/>
    <w:rsid w:val="00183D3E"/>
    <w:rsid w:val="001B1858"/>
    <w:rsid w:val="001B3D10"/>
    <w:rsid w:val="001B4147"/>
    <w:rsid w:val="001D7568"/>
    <w:rsid w:val="002424C8"/>
    <w:rsid w:val="0026304B"/>
    <w:rsid w:val="00296D27"/>
    <w:rsid w:val="002A7893"/>
    <w:rsid w:val="002B7F96"/>
    <w:rsid w:val="002C0819"/>
    <w:rsid w:val="003364E9"/>
    <w:rsid w:val="00443924"/>
    <w:rsid w:val="00452E2E"/>
    <w:rsid w:val="00461755"/>
    <w:rsid w:val="00492FDF"/>
    <w:rsid w:val="004B6D6E"/>
    <w:rsid w:val="00514908"/>
    <w:rsid w:val="005703C8"/>
    <w:rsid w:val="006200AB"/>
    <w:rsid w:val="0062072A"/>
    <w:rsid w:val="0062282D"/>
    <w:rsid w:val="00636BAC"/>
    <w:rsid w:val="006652B3"/>
    <w:rsid w:val="00683005"/>
    <w:rsid w:val="006C1CC0"/>
    <w:rsid w:val="006E262B"/>
    <w:rsid w:val="006F1ED3"/>
    <w:rsid w:val="00744587"/>
    <w:rsid w:val="00754080"/>
    <w:rsid w:val="007C1763"/>
    <w:rsid w:val="007E704F"/>
    <w:rsid w:val="008139D8"/>
    <w:rsid w:val="00813F4A"/>
    <w:rsid w:val="008215A0"/>
    <w:rsid w:val="008B28D2"/>
    <w:rsid w:val="0095072D"/>
    <w:rsid w:val="00984FFB"/>
    <w:rsid w:val="009A5E71"/>
    <w:rsid w:val="00A24E25"/>
    <w:rsid w:val="00A50FD8"/>
    <w:rsid w:val="00AD5732"/>
    <w:rsid w:val="00B103FF"/>
    <w:rsid w:val="00B24E52"/>
    <w:rsid w:val="00B3769C"/>
    <w:rsid w:val="00B67A35"/>
    <w:rsid w:val="00B80654"/>
    <w:rsid w:val="00BB0FFD"/>
    <w:rsid w:val="00BC74C1"/>
    <w:rsid w:val="00BE4E93"/>
    <w:rsid w:val="00C05A2A"/>
    <w:rsid w:val="00CB59B7"/>
    <w:rsid w:val="00CC4803"/>
    <w:rsid w:val="00D705DF"/>
    <w:rsid w:val="00E3432A"/>
    <w:rsid w:val="00E3529F"/>
    <w:rsid w:val="00E56057"/>
    <w:rsid w:val="00E8111E"/>
    <w:rsid w:val="00E93C42"/>
    <w:rsid w:val="00EA332F"/>
    <w:rsid w:val="00ED1498"/>
    <w:rsid w:val="00ED4EAD"/>
    <w:rsid w:val="00F617EA"/>
    <w:rsid w:val="00F64E93"/>
    <w:rsid w:val="00FA1B39"/>
    <w:rsid w:val="00FC1AD1"/>
    <w:rsid w:val="00FF716B"/>
    <w:rsid w:val="01040F3A"/>
    <w:rsid w:val="01266B07"/>
    <w:rsid w:val="012E1D7E"/>
    <w:rsid w:val="013B79AC"/>
    <w:rsid w:val="01BE4C9B"/>
    <w:rsid w:val="01DD2E1B"/>
    <w:rsid w:val="01F34FBF"/>
    <w:rsid w:val="024318C6"/>
    <w:rsid w:val="028A203B"/>
    <w:rsid w:val="0296004B"/>
    <w:rsid w:val="02975ACD"/>
    <w:rsid w:val="03BE6BB4"/>
    <w:rsid w:val="03DF2408"/>
    <w:rsid w:val="04012B21"/>
    <w:rsid w:val="042E496B"/>
    <w:rsid w:val="04533824"/>
    <w:rsid w:val="04557D8D"/>
    <w:rsid w:val="04E142F5"/>
    <w:rsid w:val="04E9501D"/>
    <w:rsid w:val="050C7454"/>
    <w:rsid w:val="052B1309"/>
    <w:rsid w:val="05520D1A"/>
    <w:rsid w:val="05534A4C"/>
    <w:rsid w:val="05747820"/>
    <w:rsid w:val="05CF0962"/>
    <w:rsid w:val="05CF6594"/>
    <w:rsid w:val="05F54255"/>
    <w:rsid w:val="06450AB7"/>
    <w:rsid w:val="065D0382"/>
    <w:rsid w:val="06892815"/>
    <w:rsid w:val="06963DDF"/>
    <w:rsid w:val="06971578"/>
    <w:rsid w:val="06E573E1"/>
    <w:rsid w:val="06FB3B03"/>
    <w:rsid w:val="06FC3783"/>
    <w:rsid w:val="072E354B"/>
    <w:rsid w:val="07454E7C"/>
    <w:rsid w:val="078523E2"/>
    <w:rsid w:val="078A686A"/>
    <w:rsid w:val="07AF6AAA"/>
    <w:rsid w:val="07BE70C4"/>
    <w:rsid w:val="07D848B5"/>
    <w:rsid w:val="07DF75F9"/>
    <w:rsid w:val="07EC6C16"/>
    <w:rsid w:val="083F5094"/>
    <w:rsid w:val="085C2446"/>
    <w:rsid w:val="087E03FC"/>
    <w:rsid w:val="08AF444E"/>
    <w:rsid w:val="08E42EAC"/>
    <w:rsid w:val="09093B2B"/>
    <w:rsid w:val="093A300D"/>
    <w:rsid w:val="0955265E"/>
    <w:rsid w:val="09BE460B"/>
    <w:rsid w:val="09D851B5"/>
    <w:rsid w:val="0A575703"/>
    <w:rsid w:val="0AF9768E"/>
    <w:rsid w:val="0BD613F8"/>
    <w:rsid w:val="0BD64C7B"/>
    <w:rsid w:val="0BDA3681"/>
    <w:rsid w:val="0D142104"/>
    <w:rsid w:val="0D167A51"/>
    <w:rsid w:val="0D310C40"/>
    <w:rsid w:val="0D660D0F"/>
    <w:rsid w:val="0D843CF4"/>
    <w:rsid w:val="0DB3678A"/>
    <w:rsid w:val="0DCE1532"/>
    <w:rsid w:val="0E3F5DEF"/>
    <w:rsid w:val="0E551145"/>
    <w:rsid w:val="0E703B4B"/>
    <w:rsid w:val="0E764C23"/>
    <w:rsid w:val="0E8457DE"/>
    <w:rsid w:val="0F244062"/>
    <w:rsid w:val="0F307A2D"/>
    <w:rsid w:val="0FE54120"/>
    <w:rsid w:val="104C4DC9"/>
    <w:rsid w:val="104F5D4E"/>
    <w:rsid w:val="108E789B"/>
    <w:rsid w:val="109240E3"/>
    <w:rsid w:val="10BB651B"/>
    <w:rsid w:val="10DF7BBC"/>
    <w:rsid w:val="10F13359"/>
    <w:rsid w:val="113F0EDA"/>
    <w:rsid w:val="115746CE"/>
    <w:rsid w:val="115E3BBD"/>
    <w:rsid w:val="1167461D"/>
    <w:rsid w:val="11B05D16"/>
    <w:rsid w:val="12324FEA"/>
    <w:rsid w:val="123F0A7C"/>
    <w:rsid w:val="124A2691"/>
    <w:rsid w:val="125A02B9"/>
    <w:rsid w:val="125E2600"/>
    <w:rsid w:val="12650CBC"/>
    <w:rsid w:val="126C0647"/>
    <w:rsid w:val="12B43D9A"/>
    <w:rsid w:val="12B86E1A"/>
    <w:rsid w:val="12DB4D5B"/>
    <w:rsid w:val="12F83AAE"/>
    <w:rsid w:val="132E46A0"/>
    <w:rsid w:val="13394518"/>
    <w:rsid w:val="135556F4"/>
    <w:rsid w:val="13656661"/>
    <w:rsid w:val="14261BC1"/>
    <w:rsid w:val="14380E51"/>
    <w:rsid w:val="14411117"/>
    <w:rsid w:val="14950F51"/>
    <w:rsid w:val="1541165F"/>
    <w:rsid w:val="1586116E"/>
    <w:rsid w:val="16255EFC"/>
    <w:rsid w:val="16421D8B"/>
    <w:rsid w:val="166A79E6"/>
    <w:rsid w:val="16853C7F"/>
    <w:rsid w:val="16874852"/>
    <w:rsid w:val="16DE7B91"/>
    <w:rsid w:val="16E16597"/>
    <w:rsid w:val="17A51B58"/>
    <w:rsid w:val="17C26F0A"/>
    <w:rsid w:val="183539C6"/>
    <w:rsid w:val="1883216C"/>
    <w:rsid w:val="18BB4AD7"/>
    <w:rsid w:val="18C41FB0"/>
    <w:rsid w:val="18E6367D"/>
    <w:rsid w:val="18F71505"/>
    <w:rsid w:val="191252AC"/>
    <w:rsid w:val="19162034"/>
    <w:rsid w:val="194E6691"/>
    <w:rsid w:val="197C5EDB"/>
    <w:rsid w:val="19CB4D61"/>
    <w:rsid w:val="19D05965"/>
    <w:rsid w:val="19ED7494"/>
    <w:rsid w:val="1A051862"/>
    <w:rsid w:val="1A8E25B8"/>
    <w:rsid w:val="1AB723E0"/>
    <w:rsid w:val="1B2A271F"/>
    <w:rsid w:val="1B2A3ECC"/>
    <w:rsid w:val="1B3421CE"/>
    <w:rsid w:val="1B4A3FDA"/>
    <w:rsid w:val="1B524C98"/>
    <w:rsid w:val="1B535AE1"/>
    <w:rsid w:val="1BC03F17"/>
    <w:rsid w:val="1C0D4016"/>
    <w:rsid w:val="1C124C1B"/>
    <w:rsid w:val="1C285A2F"/>
    <w:rsid w:val="1C322F51"/>
    <w:rsid w:val="1C3E0ED3"/>
    <w:rsid w:val="1C4B6079"/>
    <w:rsid w:val="1C5E2F73"/>
    <w:rsid w:val="1C6D55A8"/>
    <w:rsid w:val="1CB03004"/>
    <w:rsid w:val="1CE44E95"/>
    <w:rsid w:val="1CF35DD0"/>
    <w:rsid w:val="1D1A01E5"/>
    <w:rsid w:val="1D6E0C0D"/>
    <w:rsid w:val="1D9D6796"/>
    <w:rsid w:val="1DBE0159"/>
    <w:rsid w:val="1E1778EF"/>
    <w:rsid w:val="1E322B75"/>
    <w:rsid w:val="1E9D55C9"/>
    <w:rsid w:val="1EEC5348"/>
    <w:rsid w:val="1EF768A5"/>
    <w:rsid w:val="1F053CF4"/>
    <w:rsid w:val="1F065EF2"/>
    <w:rsid w:val="1F46255F"/>
    <w:rsid w:val="1F4644F2"/>
    <w:rsid w:val="1F8A3F4D"/>
    <w:rsid w:val="1FBF6ACC"/>
    <w:rsid w:val="1FF72875"/>
    <w:rsid w:val="2042430C"/>
    <w:rsid w:val="2087096D"/>
    <w:rsid w:val="2099279D"/>
    <w:rsid w:val="20EF4457"/>
    <w:rsid w:val="20F80A99"/>
    <w:rsid w:val="212A064C"/>
    <w:rsid w:val="21AE003E"/>
    <w:rsid w:val="21CD5401"/>
    <w:rsid w:val="221C15BB"/>
    <w:rsid w:val="222A579A"/>
    <w:rsid w:val="222B5DC2"/>
    <w:rsid w:val="223F7CBE"/>
    <w:rsid w:val="224C3750"/>
    <w:rsid w:val="226C6366"/>
    <w:rsid w:val="229409E4"/>
    <w:rsid w:val="22A763E9"/>
    <w:rsid w:val="22DF114F"/>
    <w:rsid w:val="22EA2355"/>
    <w:rsid w:val="22EC5858"/>
    <w:rsid w:val="22F1729D"/>
    <w:rsid w:val="22FE6DF7"/>
    <w:rsid w:val="23E4344C"/>
    <w:rsid w:val="240E1541"/>
    <w:rsid w:val="241A5C2B"/>
    <w:rsid w:val="242B2A19"/>
    <w:rsid w:val="24526424"/>
    <w:rsid w:val="24593831"/>
    <w:rsid w:val="24857B78"/>
    <w:rsid w:val="2491744F"/>
    <w:rsid w:val="24E53415"/>
    <w:rsid w:val="25156162"/>
    <w:rsid w:val="25630347"/>
    <w:rsid w:val="256A366E"/>
    <w:rsid w:val="257C6E0B"/>
    <w:rsid w:val="259F333A"/>
    <w:rsid w:val="25B811EE"/>
    <w:rsid w:val="25C50504"/>
    <w:rsid w:val="25FE1963"/>
    <w:rsid w:val="260D66FA"/>
    <w:rsid w:val="263F5D37"/>
    <w:rsid w:val="26671392"/>
    <w:rsid w:val="26E84428"/>
    <w:rsid w:val="26EB3B6A"/>
    <w:rsid w:val="26EC5D68"/>
    <w:rsid w:val="270701E8"/>
    <w:rsid w:val="27074394"/>
    <w:rsid w:val="272F4B61"/>
    <w:rsid w:val="27570C9B"/>
    <w:rsid w:val="277B0E93"/>
    <w:rsid w:val="2783230C"/>
    <w:rsid w:val="278504E5"/>
    <w:rsid w:val="27C673DE"/>
    <w:rsid w:val="280F4BC6"/>
    <w:rsid w:val="282525ED"/>
    <w:rsid w:val="284A5CA4"/>
    <w:rsid w:val="28B0474F"/>
    <w:rsid w:val="28F925C5"/>
    <w:rsid w:val="29431740"/>
    <w:rsid w:val="29785A6B"/>
    <w:rsid w:val="29921D00"/>
    <w:rsid w:val="29986C4B"/>
    <w:rsid w:val="2A45157C"/>
    <w:rsid w:val="2A7A0559"/>
    <w:rsid w:val="2A976B6E"/>
    <w:rsid w:val="2A9C2048"/>
    <w:rsid w:val="2AE17EE7"/>
    <w:rsid w:val="2AF22097"/>
    <w:rsid w:val="2B1419BB"/>
    <w:rsid w:val="2B4D5018"/>
    <w:rsid w:val="2B547244"/>
    <w:rsid w:val="2C1724E2"/>
    <w:rsid w:val="2C5A1CD2"/>
    <w:rsid w:val="2C6E0973"/>
    <w:rsid w:val="2CA674FD"/>
    <w:rsid w:val="2D07786C"/>
    <w:rsid w:val="2D1F3974"/>
    <w:rsid w:val="2D5043DE"/>
    <w:rsid w:val="2D5A1875"/>
    <w:rsid w:val="2D657953"/>
    <w:rsid w:val="2D6C2E14"/>
    <w:rsid w:val="2D6D0895"/>
    <w:rsid w:val="2D776C27"/>
    <w:rsid w:val="2DB52EF2"/>
    <w:rsid w:val="2DD77FBB"/>
    <w:rsid w:val="2DFF609E"/>
    <w:rsid w:val="2E262A61"/>
    <w:rsid w:val="2E8325DC"/>
    <w:rsid w:val="2E874865"/>
    <w:rsid w:val="2E9A285D"/>
    <w:rsid w:val="2EB834B6"/>
    <w:rsid w:val="2EDE5274"/>
    <w:rsid w:val="2EE62680"/>
    <w:rsid w:val="2F02092C"/>
    <w:rsid w:val="2F242165"/>
    <w:rsid w:val="2F4D5528"/>
    <w:rsid w:val="2F537431"/>
    <w:rsid w:val="2F7F3606"/>
    <w:rsid w:val="2FA21E54"/>
    <w:rsid w:val="30355826"/>
    <w:rsid w:val="30472D22"/>
    <w:rsid w:val="30534DD6"/>
    <w:rsid w:val="30761B12"/>
    <w:rsid w:val="30923DF3"/>
    <w:rsid w:val="30CA159C"/>
    <w:rsid w:val="316771C6"/>
    <w:rsid w:val="316F64A7"/>
    <w:rsid w:val="317E6AC1"/>
    <w:rsid w:val="318B0355"/>
    <w:rsid w:val="31A93189"/>
    <w:rsid w:val="31AA6038"/>
    <w:rsid w:val="32414601"/>
    <w:rsid w:val="32422082"/>
    <w:rsid w:val="32491A0D"/>
    <w:rsid w:val="325F3BB1"/>
    <w:rsid w:val="328773F9"/>
    <w:rsid w:val="32E4188C"/>
    <w:rsid w:val="32F24425"/>
    <w:rsid w:val="330E4C4E"/>
    <w:rsid w:val="33396D97"/>
    <w:rsid w:val="335E48F8"/>
    <w:rsid w:val="33837CFD"/>
    <w:rsid w:val="33887EE3"/>
    <w:rsid w:val="33964F33"/>
    <w:rsid w:val="34162937"/>
    <w:rsid w:val="343D3D70"/>
    <w:rsid w:val="34677C61"/>
    <w:rsid w:val="34792FA7"/>
    <w:rsid w:val="34EA455F"/>
    <w:rsid w:val="35083B0F"/>
    <w:rsid w:val="355E7A5C"/>
    <w:rsid w:val="35A66E91"/>
    <w:rsid w:val="362E38F2"/>
    <w:rsid w:val="36AC41C0"/>
    <w:rsid w:val="36EE5F2E"/>
    <w:rsid w:val="370D24EC"/>
    <w:rsid w:val="374B1770"/>
    <w:rsid w:val="376037F2"/>
    <w:rsid w:val="37C7238E"/>
    <w:rsid w:val="37E2423D"/>
    <w:rsid w:val="37F50CDF"/>
    <w:rsid w:val="38196915"/>
    <w:rsid w:val="38321A3E"/>
    <w:rsid w:val="38681F18"/>
    <w:rsid w:val="387A62F0"/>
    <w:rsid w:val="38BF61AA"/>
    <w:rsid w:val="38C500B3"/>
    <w:rsid w:val="38EB24F1"/>
    <w:rsid w:val="38F308AE"/>
    <w:rsid w:val="39153335"/>
    <w:rsid w:val="392B54D9"/>
    <w:rsid w:val="393410E9"/>
    <w:rsid w:val="393C5773"/>
    <w:rsid w:val="396E7247"/>
    <w:rsid w:val="39991390"/>
    <w:rsid w:val="39C57C56"/>
    <w:rsid w:val="39E223B3"/>
    <w:rsid w:val="3A094EC7"/>
    <w:rsid w:val="3A160959"/>
    <w:rsid w:val="3AC556D4"/>
    <w:rsid w:val="3AF328C6"/>
    <w:rsid w:val="3B121AD1"/>
    <w:rsid w:val="3B190CE9"/>
    <w:rsid w:val="3B266598"/>
    <w:rsid w:val="3B2E39A5"/>
    <w:rsid w:val="3BF014E4"/>
    <w:rsid w:val="3C017592"/>
    <w:rsid w:val="3C0D61D4"/>
    <w:rsid w:val="3C6E59E3"/>
    <w:rsid w:val="3C8A2E05"/>
    <w:rsid w:val="3CBB7CB3"/>
    <w:rsid w:val="3CF3383D"/>
    <w:rsid w:val="3CFB2C9B"/>
    <w:rsid w:val="3CFD0D2E"/>
    <w:rsid w:val="3D06102C"/>
    <w:rsid w:val="3D2405DC"/>
    <w:rsid w:val="3D301E70"/>
    <w:rsid w:val="3D332381"/>
    <w:rsid w:val="3DBA6B09"/>
    <w:rsid w:val="3DD06ACE"/>
    <w:rsid w:val="3DE36C1C"/>
    <w:rsid w:val="3E0B4D5C"/>
    <w:rsid w:val="3E0B5DF8"/>
    <w:rsid w:val="3EA55255"/>
    <w:rsid w:val="3EE63B0E"/>
    <w:rsid w:val="3EFA2761"/>
    <w:rsid w:val="3F553D74"/>
    <w:rsid w:val="3F843BE4"/>
    <w:rsid w:val="3FCA3D33"/>
    <w:rsid w:val="3FD34C34"/>
    <w:rsid w:val="40516596"/>
    <w:rsid w:val="40770EEF"/>
    <w:rsid w:val="40BD7E43"/>
    <w:rsid w:val="40FA572A"/>
    <w:rsid w:val="4125656E"/>
    <w:rsid w:val="41603979"/>
    <w:rsid w:val="41CF436B"/>
    <w:rsid w:val="42025F5C"/>
    <w:rsid w:val="420E64EB"/>
    <w:rsid w:val="421617F2"/>
    <w:rsid w:val="4221770A"/>
    <w:rsid w:val="423676B0"/>
    <w:rsid w:val="42714011"/>
    <w:rsid w:val="427D21C4"/>
    <w:rsid w:val="42A376B6"/>
    <w:rsid w:val="42B7311E"/>
    <w:rsid w:val="42C11812"/>
    <w:rsid w:val="435E2995"/>
    <w:rsid w:val="43740F4F"/>
    <w:rsid w:val="439E377F"/>
    <w:rsid w:val="43BA1A2A"/>
    <w:rsid w:val="43E541AC"/>
    <w:rsid w:val="441A22D4"/>
    <w:rsid w:val="443B2E6C"/>
    <w:rsid w:val="44464E91"/>
    <w:rsid w:val="448D7804"/>
    <w:rsid w:val="44D35A92"/>
    <w:rsid w:val="44D47F78"/>
    <w:rsid w:val="456142C9"/>
    <w:rsid w:val="45AF69E2"/>
    <w:rsid w:val="45F10750"/>
    <w:rsid w:val="46190610"/>
    <w:rsid w:val="4619368A"/>
    <w:rsid w:val="464B6860"/>
    <w:rsid w:val="46A31A5A"/>
    <w:rsid w:val="46E00140"/>
    <w:rsid w:val="472216D4"/>
    <w:rsid w:val="47493EFF"/>
    <w:rsid w:val="4757351A"/>
    <w:rsid w:val="477F33DA"/>
    <w:rsid w:val="47800E5B"/>
    <w:rsid w:val="47835663"/>
    <w:rsid w:val="47C45408"/>
    <w:rsid w:val="47C84AD3"/>
    <w:rsid w:val="47C92554"/>
    <w:rsid w:val="48854E86"/>
    <w:rsid w:val="48B25D55"/>
    <w:rsid w:val="48C97EF9"/>
    <w:rsid w:val="48F30D3D"/>
    <w:rsid w:val="48F46570"/>
    <w:rsid w:val="49612F2E"/>
    <w:rsid w:val="49C04C0E"/>
    <w:rsid w:val="4A2673C1"/>
    <w:rsid w:val="4B1F439A"/>
    <w:rsid w:val="4B640FE1"/>
    <w:rsid w:val="4B7C2965"/>
    <w:rsid w:val="4BAD69B7"/>
    <w:rsid w:val="4BCA740A"/>
    <w:rsid w:val="4BD56877"/>
    <w:rsid w:val="4BE41090"/>
    <w:rsid w:val="4C020640"/>
    <w:rsid w:val="4C2B3A02"/>
    <w:rsid w:val="4C711F79"/>
    <w:rsid w:val="4CA06527"/>
    <w:rsid w:val="4CB12D62"/>
    <w:rsid w:val="4CB949F1"/>
    <w:rsid w:val="4CE31080"/>
    <w:rsid w:val="4D416DCE"/>
    <w:rsid w:val="4D6E0FDF"/>
    <w:rsid w:val="4D6F6618"/>
    <w:rsid w:val="4DEF36BF"/>
    <w:rsid w:val="4E5D2A1D"/>
    <w:rsid w:val="4E6A1D33"/>
    <w:rsid w:val="4E7C7A4F"/>
    <w:rsid w:val="4E8D44E6"/>
    <w:rsid w:val="4EA25710"/>
    <w:rsid w:val="4EE016AD"/>
    <w:rsid w:val="4EE4307A"/>
    <w:rsid w:val="4EF62169"/>
    <w:rsid w:val="4F0B8317"/>
    <w:rsid w:val="4F205FDF"/>
    <w:rsid w:val="4F7B9E79"/>
    <w:rsid w:val="4F863785"/>
    <w:rsid w:val="4F94099A"/>
    <w:rsid w:val="4FDB582E"/>
    <w:rsid w:val="4FF31BBA"/>
    <w:rsid w:val="50095F5C"/>
    <w:rsid w:val="50501B13"/>
    <w:rsid w:val="508C0050"/>
    <w:rsid w:val="509B32CD"/>
    <w:rsid w:val="51203526"/>
    <w:rsid w:val="513B74B5"/>
    <w:rsid w:val="5153143F"/>
    <w:rsid w:val="515B0AB6"/>
    <w:rsid w:val="51922560"/>
    <w:rsid w:val="520B69A6"/>
    <w:rsid w:val="52417DF7"/>
    <w:rsid w:val="5245110A"/>
    <w:rsid w:val="525C54AC"/>
    <w:rsid w:val="5266383D"/>
    <w:rsid w:val="52892084"/>
    <w:rsid w:val="529F4C9C"/>
    <w:rsid w:val="53337682"/>
    <w:rsid w:val="53CE3F8A"/>
    <w:rsid w:val="53E378B1"/>
    <w:rsid w:val="53E83D39"/>
    <w:rsid w:val="54364B57"/>
    <w:rsid w:val="544831E7"/>
    <w:rsid w:val="54653303"/>
    <w:rsid w:val="547D2F9E"/>
    <w:rsid w:val="54A8330E"/>
    <w:rsid w:val="54DE0898"/>
    <w:rsid w:val="54F12DEE"/>
    <w:rsid w:val="55147C14"/>
    <w:rsid w:val="55C273D3"/>
    <w:rsid w:val="55DA66E7"/>
    <w:rsid w:val="567A4F6C"/>
    <w:rsid w:val="568C3F8D"/>
    <w:rsid w:val="56BD255D"/>
    <w:rsid w:val="56BD475C"/>
    <w:rsid w:val="56EA6524"/>
    <w:rsid w:val="56F426B7"/>
    <w:rsid w:val="57327357"/>
    <w:rsid w:val="5734334C"/>
    <w:rsid w:val="573531D6"/>
    <w:rsid w:val="574C3CF4"/>
    <w:rsid w:val="58007B0E"/>
    <w:rsid w:val="580D6782"/>
    <w:rsid w:val="584D616C"/>
    <w:rsid w:val="586851B4"/>
    <w:rsid w:val="58887A95"/>
    <w:rsid w:val="58A61E60"/>
    <w:rsid w:val="58EB42FC"/>
    <w:rsid w:val="59A776A2"/>
    <w:rsid w:val="59BE2B4A"/>
    <w:rsid w:val="59EB2715"/>
    <w:rsid w:val="5A031FBA"/>
    <w:rsid w:val="5A401E1F"/>
    <w:rsid w:val="5A4452D7"/>
    <w:rsid w:val="5A6048D2"/>
    <w:rsid w:val="5A804E07"/>
    <w:rsid w:val="5AA340C2"/>
    <w:rsid w:val="5B3620DE"/>
    <w:rsid w:val="5B561028"/>
    <w:rsid w:val="5B6E7DE5"/>
    <w:rsid w:val="5B74479A"/>
    <w:rsid w:val="5B8D564A"/>
    <w:rsid w:val="5B991157"/>
    <w:rsid w:val="5B9B690D"/>
    <w:rsid w:val="5BCE032C"/>
    <w:rsid w:val="5C2A2C44"/>
    <w:rsid w:val="5C335AD2"/>
    <w:rsid w:val="5C9F2C03"/>
    <w:rsid w:val="5CDC2A68"/>
    <w:rsid w:val="5D163B46"/>
    <w:rsid w:val="5DB66E34"/>
    <w:rsid w:val="5DC913EB"/>
    <w:rsid w:val="5E074753"/>
    <w:rsid w:val="5E3F0130"/>
    <w:rsid w:val="5E401DF3"/>
    <w:rsid w:val="5E5E1C24"/>
    <w:rsid w:val="5E865022"/>
    <w:rsid w:val="5ECE5416"/>
    <w:rsid w:val="5ED660A5"/>
    <w:rsid w:val="5EF046D1"/>
    <w:rsid w:val="5F463DDB"/>
    <w:rsid w:val="5FA266F3"/>
    <w:rsid w:val="5FAB1581"/>
    <w:rsid w:val="605E5332"/>
    <w:rsid w:val="609E0F14"/>
    <w:rsid w:val="60A972A5"/>
    <w:rsid w:val="60CA77DA"/>
    <w:rsid w:val="61463937"/>
    <w:rsid w:val="616D02E8"/>
    <w:rsid w:val="6173586E"/>
    <w:rsid w:val="61883090"/>
    <w:rsid w:val="6189081C"/>
    <w:rsid w:val="619D77B2"/>
    <w:rsid w:val="61E13FB0"/>
    <w:rsid w:val="62600B75"/>
    <w:rsid w:val="62803628"/>
    <w:rsid w:val="63014E7B"/>
    <w:rsid w:val="6314609A"/>
    <w:rsid w:val="635F5C54"/>
    <w:rsid w:val="636C0191"/>
    <w:rsid w:val="63702F31"/>
    <w:rsid w:val="63817312"/>
    <w:rsid w:val="63896059"/>
    <w:rsid w:val="638C7847"/>
    <w:rsid w:val="643429A4"/>
    <w:rsid w:val="64647B54"/>
    <w:rsid w:val="64C869E5"/>
    <w:rsid w:val="64FB01C2"/>
    <w:rsid w:val="64FB04B9"/>
    <w:rsid w:val="65074FBA"/>
    <w:rsid w:val="650755D0"/>
    <w:rsid w:val="653D2227"/>
    <w:rsid w:val="653D5C61"/>
    <w:rsid w:val="65A0701B"/>
    <w:rsid w:val="65B06CE3"/>
    <w:rsid w:val="65C60E87"/>
    <w:rsid w:val="65E12D35"/>
    <w:rsid w:val="65E826C0"/>
    <w:rsid w:val="66377D5A"/>
    <w:rsid w:val="66823FAD"/>
    <w:rsid w:val="67673E36"/>
    <w:rsid w:val="67D31D3B"/>
    <w:rsid w:val="680A7DBC"/>
    <w:rsid w:val="687419EA"/>
    <w:rsid w:val="68997A2B"/>
    <w:rsid w:val="690C1F68"/>
    <w:rsid w:val="694232F2"/>
    <w:rsid w:val="69DA0037"/>
    <w:rsid w:val="6A441057"/>
    <w:rsid w:val="6A953FED"/>
    <w:rsid w:val="6AA370E8"/>
    <w:rsid w:val="6AC22533"/>
    <w:rsid w:val="6B00369D"/>
    <w:rsid w:val="6B6C732C"/>
    <w:rsid w:val="6B9D2277"/>
    <w:rsid w:val="6B9E4244"/>
    <w:rsid w:val="6B9F4FC7"/>
    <w:rsid w:val="6BA63E2B"/>
    <w:rsid w:val="6C6F7988"/>
    <w:rsid w:val="6CAD6BDB"/>
    <w:rsid w:val="6D0548D4"/>
    <w:rsid w:val="6D7C1B9A"/>
    <w:rsid w:val="6D8A2D46"/>
    <w:rsid w:val="6DBC70FF"/>
    <w:rsid w:val="6DD67943"/>
    <w:rsid w:val="6E2975F0"/>
    <w:rsid w:val="6E911630"/>
    <w:rsid w:val="6EED710A"/>
    <w:rsid w:val="6EF22CF8"/>
    <w:rsid w:val="6F001D3F"/>
    <w:rsid w:val="6F077CB4"/>
    <w:rsid w:val="6F8B5D0F"/>
    <w:rsid w:val="6F964BDB"/>
    <w:rsid w:val="6FD02096"/>
    <w:rsid w:val="6FDADE85"/>
    <w:rsid w:val="70280A8B"/>
    <w:rsid w:val="70342CA5"/>
    <w:rsid w:val="709A5ECC"/>
    <w:rsid w:val="70A324E5"/>
    <w:rsid w:val="70B7011A"/>
    <w:rsid w:val="70E3342F"/>
    <w:rsid w:val="70E36156"/>
    <w:rsid w:val="71056477"/>
    <w:rsid w:val="71086DB5"/>
    <w:rsid w:val="715B0581"/>
    <w:rsid w:val="71A12E7C"/>
    <w:rsid w:val="71D36ECE"/>
    <w:rsid w:val="71EE3F30"/>
    <w:rsid w:val="71FE1F10"/>
    <w:rsid w:val="72002E95"/>
    <w:rsid w:val="72124C10"/>
    <w:rsid w:val="722E04E1"/>
    <w:rsid w:val="727453D2"/>
    <w:rsid w:val="72A72729"/>
    <w:rsid w:val="72EF555D"/>
    <w:rsid w:val="73121DD9"/>
    <w:rsid w:val="73690269"/>
    <w:rsid w:val="7386044D"/>
    <w:rsid w:val="739D6139"/>
    <w:rsid w:val="73B64AE5"/>
    <w:rsid w:val="7414042A"/>
    <w:rsid w:val="748B5DC2"/>
    <w:rsid w:val="749E2864"/>
    <w:rsid w:val="754F4216"/>
    <w:rsid w:val="7559561B"/>
    <w:rsid w:val="759926FC"/>
    <w:rsid w:val="759B5BFF"/>
    <w:rsid w:val="75C31473"/>
    <w:rsid w:val="75D02BD6"/>
    <w:rsid w:val="75DB69E8"/>
    <w:rsid w:val="763B2EA0"/>
    <w:rsid w:val="76675743"/>
    <w:rsid w:val="76882384"/>
    <w:rsid w:val="76C07F60"/>
    <w:rsid w:val="773E6630"/>
    <w:rsid w:val="774E68CA"/>
    <w:rsid w:val="77A06462"/>
    <w:rsid w:val="77E26E55"/>
    <w:rsid w:val="78066176"/>
    <w:rsid w:val="782563DD"/>
    <w:rsid w:val="7831798E"/>
    <w:rsid w:val="783267C7"/>
    <w:rsid w:val="784721F4"/>
    <w:rsid w:val="786E47A3"/>
    <w:rsid w:val="78C728B3"/>
    <w:rsid w:val="78CF7CC0"/>
    <w:rsid w:val="792606CF"/>
    <w:rsid w:val="79827975"/>
    <w:rsid w:val="798677EE"/>
    <w:rsid w:val="79AC33DA"/>
    <w:rsid w:val="79B86A0B"/>
    <w:rsid w:val="7A034839"/>
    <w:rsid w:val="7A5F6238"/>
    <w:rsid w:val="7A6C143E"/>
    <w:rsid w:val="7A8A3819"/>
    <w:rsid w:val="7A983721"/>
    <w:rsid w:val="7AC05B35"/>
    <w:rsid w:val="7AE64E2A"/>
    <w:rsid w:val="7B35042F"/>
    <w:rsid w:val="7B4263C0"/>
    <w:rsid w:val="7B6C638A"/>
    <w:rsid w:val="7B87543C"/>
    <w:rsid w:val="7B8A4CFC"/>
    <w:rsid w:val="7B9C10D8"/>
    <w:rsid w:val="7C3E5E46"/>
    <w:rsid w:val="7C4B59F8"/>
    <w:rsid w:val="7CAE3CED"/>
    <w:rsid w:val="7DBB18DC"/>
    <w:rsid w:val="7DF625AE"/>
    <w:rsid w:val="7E595ACF"/>
    <w:rsid w:val="7E602EE5"/>
    <w:rsid w:val="7E7E2495"/>
    <w:rsid w:val="7E8E272F"/>
    <w:rsid w:val="7EE759C2"/>
    <w:rsid w:val="7F115287"/>
    <w:rsid w:val="7F64728F"/>
    <w:rsid w:val="7F8041D3"/>
    <w:rsid w:val="7F843F41"/>
    <w:rsid w:val="7FA03871"/>
    <w:rsid w:val="7FA13B7A"/>
    <w:rsid w:val="7FAE32D8"/>
    <w:rsid w:val="7FEFAFB5"/>
    <w:rsid w:val="7FF361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37CC8A"/>
  <w15:docId w15:val="{36A176F5-C5EC-479C-A2A3-EF5BCE754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uiPriority="99"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next w:val="81"/>
    <w:uiPriority w:val="99"/>
    <w:qFormat/>
    <w:rPr>
      <w:rFonts w:ascii="仿宋_GB2312" w:eastAsia="仿宋_GB2312" w:hAnsi="仿宋_GB2312" w:cs="仿宋_GB2312"/>
      <w:sz w:val="32"/>
      <w:szCs w:val="32"/>
      <w:lang w:val="zh-CN"/>
    </w:rPr>
  </w:style>
  <w:style w:type="paragraph" w:customStyle="1" w:styleId="81">
    <w:name w:val="索引 81"/>
    <w:basedOn w:val="a"/>
    <w:next w:val="a"/>
    <w:qFormat/>
    <w:pPr>
      <w:ind w:leftChars="1400" w:left="1400"/>
    </w:pPr>
  </w:style>
  <w:style w:type="paragraph" w:styleId="a6">
    <w:name w:val="Balloon Text"/>
    <w:basedOn w:val="a"/>
    <w:link w:val="a7"/>
    <w:qFormat/>
    <w:rPr>
      <w:sz w:val="18"/>
      <w:szCs w:val="18"/>
    </w:rPr>
  </w:style>
  <w:style w:type="paragraph" w:styleId="a8">
    <w:name w:val="footer"/>
    <w:basedOn w:val="a"/>
    <w:qFormat/>
    <w:pPr>
      <w:tabs>
        <w:tab w:val="center" w:pos="4153"/>
        <w:tab w:val="right" w:pos="8306"/>
      </w:tabs>
      <w:snapToGrid w:val="0"/>
      <w:jc w:val="left"/>
    </w:pPr>
    <w:rPr>
      <w:sz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Times New Roman" w:hint="eastAsia"/>
      <w:kern w:val="0"/>
      <w:sz w:val="24"/>
    </w:rPr>
  </w:style>
  <w:style w:type="paragraph" w:styleId="aa">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b">
    <w:name w:val="annotation subject"/>
    <w:basedOn w:val="a3"/>
    <w:next w:val="a3"/>
    <w:link w:val="ac"/>
    <w:qFormat/>
    <w:rPr>
      <w:b/>
      <w:bCs/>
    </w:rPr>
  </w:style>
  <w:style w:type="table" w:styleId="a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qFormat/>
    <w:rPr>
      <w:sz w:val="21"/>
      <w:szCs w:val="21"/>
    </w:rPr>
  </w:style>
  <w:style w:type="character" w:customStyle="1" w:styleId="a4">
    <w:name w:val="批注文字 字符"/>
    <w:link w:val="a3"/>
    <w:qFormat/>
    <w:rPr>
      <w:rFonts w:ascii="Calibri" w:hAnsi="Calibri" w:cs="黑体"/>
      <w:kern w:val="2"/>
      <w:sz w:val="21"/>
      <w:szCs w:val="24"/>
    </w:rPr>
  </w:style>
  <w:style w:type="character" w:customStyle="1" w:styleId="a7">
    <w:name w:val="批注框文本 字符"/>
    <w:link w:val="a6"/>
    <w:qFormat/>
    <w:rPr>
      <w:rFonts w:ascii="Calibri" w:hAnsi="Calibri" w:cs="黑体"/>
      <w:kern w:val="2"/>
      <w:sz w:val="18"/>
      <w:szCs w:val="18"/>
    </w:rPr>
  </w:style>
  <w:style w:type="character" w:customStyle="1" w:styleId="ac">
    <w:name w:val="批注主题 字符"/>
    <w:link w:val="ab"/>
    <w:qFormat/>
    <w:rPr>
      <w:rFonts w:ascii="Calibri" w:hAnsi="Calibri" w:cs="黑体"/>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package" Target="embeddings/Microsoft_Excel_Worksheet7.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package" Target="embeddings/Microsoft_Excel_Worksheet8.xlsx"/></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134615384615405E-2"/>
          <c:y val="0.116279069767442"/>
          <c:w val="0.72836538461538503"/>
          <c:h val="0.69302325581395396"/>
        </c:manualLayout>
      </c:layout>
      <c:barChart>
        <c:barDir val="col"/>
        <c:grouping val="clustered"/>
        <c:varyColors val="0"/>
        <c:ser>
          <c:idx val="0"/>
          <c:order val="0"/>
          <c:tx>
            <c:strRef>
              <c:f>Sheet1!$B$1</c:f>
              <c:strCache>
                <c:ptCount val="1"/>
                <c:pt idx="0">
                  <c:v>行政</c:v>
                </c:pt>
              </c:strCache>
            </c:strRef>
          </c:tx>
          <c:spPr>
            <a:solidFill>
              <a:srgbClr val="9999FF"/>
            </a:solidFill>
            <a:ln w="12699">
              <a:solidFill>
                <a:srgbClr val="000000"/>
              </a:solidFill>
              <a:prstDash val="solid"/>
            </a:ln>
          </c:spPr>
          <c:invertIfNegative val="0"/>
          <c:cat>
            <c:strRef>
              <c:f>Sheet1!$A$2:$A$5</c:f>
              <c:strCache>
                <c:ptCount val="4"/>
                <c:pt idx="0">
                  <c:v>行政</c:v>
                </c:pt>
                <c:pt idx="1">
                  <c:v>事业</c:v>
                </c:pt>
                <c:pt idx="2">
                  <c:v>工勤</c:v>
                </c:pt>
                <c:pt idx="3">
                  <c:v>离退休</c:v>
                </c:pt>
              </c:strCache>
            </c:strRef>
          </c:cat>
          <c:val>
            <c:numRef>
              <c:f>Sheet1!$B$2:$B$5</c:f>
              <c:numCache>
                <c:formatCode>General</c:formatCode>
                <c:ptCount val="4"/>
                <c:pt idx="0">
                  <c:v>76</c:v>
                </c:pt>
              </c:numCache>
            </c:numRef>
          </c:val>
          <c:extLst>
            <c:ext xmlns:c16="http://schemas.microsoft.com/office/drawing/2014/chart" uri="{C3380CC4-5D6E-409C-BE32-E72D297353CC}">
              <c16:uniqueId val="{00000000-2EC2-4DF6-9E4E-4E7246689EB5}"/>
            </c:ext>
          </c:extLst>
        </c:ser>
        <c:ser>
          <c:idx val="1"/>
          <c:order val="1"/>
          <c:tx>
            <c:strRef>
              <c:f>Sheet1!$C$1</c:f>
              <c:strCache>
                <c:ptCount val="1"/>
                <c:pt idx="0">
                  <c:v>事业</c:v>
                </c:pt>
              </c:strCache>
            </c:strRef>
          </c:tx>
          <c:spPr>
            <a:solidFill>
              <a:srgbClr val="993366"/>
            </a:solidFill>
            <a:ln w="12699">
              <a:solidFill>
                <a:srgbClr val="000000"/>
              </a:solidFill>
              <a:prstDash val="solid"/>
            </a:ln>
          </c:spPr>
          <c:invertIfNegative val="0"/>
          <c:cat>
            <c:strRef>
              <c:f>Sheet1!$A$2:$A$5</c:f>
              <c:strCache>
                <c:ptCount val="4"/>
                <c:pt idx="0">
                  <c:v>行政</c:v>
                </c:pt>
                <c:pt idx="1">
                  <c:v>事业</c:v>
                </c:pt>
                <c:pt idx="2">
                  <c:v>工勤</c:v>
                </c:pt>
                <c:pt idx="3">
                  <c:v>离退休</c:v>
                </c:pt>
              </c:strCache>
            </c:strRef>
          </c:cat>
          <c:val>
            <c:numRef>
              <c:f>Sheet1!$C$2:$C$5</c:f>
              <c:numCache>
                <c:formatCode>General</c:formatCode>
                <c:ptCount val="4"/>
                <c:pt idx="1">
                  <c:v>25</c:v>
                </c:pt>
              </c:numCache>
            </c:numRef>
          </c:val>
          <c:extLst>
            <c:ext xmlns:c16="http://schemas.microsoft.com/office/drawing/2014/chart" uri="{C3380CC4-5D6E-409C-BE32-E72D297353CC}">
              <c16:uniqueId val="{00000001-2EC2-4DF6-9E4E-4E7246689EB5}"/>
            </c:ext>
          </c:extLst>
        </c:ser>
        <c:ser>
          <c:idx val="2"/>
          <c:order val="2"/>
          <c:tx>
            <c:strRef>
              <c:f>Sheet1!$D$1</c:f>
              <c:strCache>
                <c:ptCount val="1"/>
                <c:pt idx="0">
                  <c:v>工勤</c:v>
                </c:pt>
              </c:strCache>
            </c:strRef>
          </c:tx>
          <c:spPr>
            <a:solidFill>
              <a:srgbClr val="FFFFCC"/>
            </a:solidFill>
            <a:ln w="12699">
              <a:solidFill>
                <a:srgbClr val="000000"/>
              </a:solidFill>
              <a:prstDash val="solid"/>
            </a:ln>
          </c:spPr>
          <c:invertIfNegative val="0"/>
          <c:cat>
            <c:strRef>
              <c:f>Sheet1!$A$2:$A$5</c:f>
              <c:strCache>
                <c:ptCount val="4"/>
                <c:pt idx="0">
                  <c:v>行政</c:v>
                </c:pt>
                <c:pt idx="1">
                  <c:v>事业</c:v>
                </c:pt>
                <c:pt idx="2">
                  <c:v>工勤</c:v>
                </c:pt>
                <c:pt idx="3">
                  <c:v>离退休</c:v>
                </c:pt>
              </c:strCache>
            </c:strRef>
          </c:cat>
          <c:val>
            <c:numRef>
              <c:f>Sheet1!$D$2:$D$5</c:f>
              <c:numCache>
                <c:formatCode>General</c:formatCode>
                <c:ptCount val="4"/>
                <c:pt idx="2">
                  <c:v>5</c:v>
                </c:pt>
              </c:numCache>
            </c:numRef>
          </c:val>
          <c:extLst>
            <c:ext xmlns:c16="http://schemas.microsoft.com/office/drawing/2014/chart" uri="{C3380CC4-5D6E-409C-BE32-E72D297353CC}">
              <c16:uniqueId val="{00000002-2EC2-4DF6-9E4E-4E7246689EB5}"/>
            </c:ext>
          </c:extLst>
        </c:ser>
        <c:ser>
          <c:idx val="3"/>
          <c:order val="3"/>
          <c:tx>
            <c:strRef>
              <c:f>Sheet1!$E$1</c:f>
              <c:strCache>
                <c:ptCount val="1"/>
                <c:pt idx="0">
                  <c:v>离退休</c:v>
                </c:pt>
              </c:strCache>
            </c:strRef>
          </c:tx>
          <c:spPr>
            <a:solidFill>
              <a:srgbClr val="CCFFFF"/>
            </a:solidFill>
            <a:ln w="12699">
              <a:solidFill>
                <a:srgbClr val="000000"/>
              </a:solidFill>
              <a:prstDash val="solid"/>
            </a:ln>
          </c:spPr>
          <c:invertIfNegative val="0"/>
          <c:cat>
            <c:strRef>
              <c:f>Sheet1!$A$2:$A$5</c:f>
              <c:strCache>
                <c:ptCount val="4"/>
                <c:pt idx="0">
                  <c:v>行政</c:v>
                </c:pt>
                <c:pt idx="1">
                  <c:v>事业</c:v>
                </c:pt>
                <c:pt idx="2">
                  <c:v>工勤</c:v>
                </c:pt>
                <c:pt idx="3">
                  <c:v>离退休</c:v>
                </c:pt>
              </c:strCache>
            </c:strRef>
          </c:cat>
          <c:val>
            <c:numRef>
              <c:f>Sheet1!$E$2:$E$5</c:f>
              <c:numCache>
                <c:formatCode>General</c:formatCode>
                <c:ptCount val="4"/>
                <c:pt idx="3">
                  <c:v>71</c:v>
                </c:pt>
              </c:numCache>
            </c:numRef>
          </c:val>
          <c:extLst>
            <c:ext xmlns:c16="http://schemas.microsoft.com/office/drawing/2014/chart" uri="{C3380CC4-5D6E-409C-BE32-E72D297353CC}">
              <c16:uniqueId val="{00000003-2EC2-4DF6-9E4E-4E7246689EB5}"/>
            </c:ext>
          </c:extLst>
        </c:ser>
        <c:dLbls>
          <c:showLegendKey val="0"/>
          <c:showVal val="0"/>
          <c:showCatName val="0"/>
          <c:showSerName val="0"/>
          <c:showPercent val="0"/>
          <c:showBubbleSize val="0"/>
        </c:dLbls>
        <c:gapWidth val="330"/>
        <c:axId val="789055616"/>
        <c:axId val="1"/>
      </c:barChart>
      <c:catAx>
        <c:axId val="789055616"/>
        <c:scaling>
          <c:orientation val="minMax"/>
        </c:scaling>
        <c:delete val="0"/>
        <c:axPos val="b"/>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075" b="0" i="0" u="none" strike="noStrike" kern="1200" baseline="0">
                <a:solidFill>
                  <a:srgbClr val="000000"/>
                </a:solidFill>
                <a:latin typeface="Calibri"/>
                <a:ea typeface="Calibri"/>
                <a:cs typeface="Calibri"/>
              </a:defRPr>
            </a:pPr>
            <a:endParaRPr lang="zh-CN"/>
          </a:p>
        </c:txPr>
        <c:crossAx val="1"/>
        <c:crosses val="autoZero"/>
        <c:auto val="1"/>
        <c:lblAlgn val="ctr"/>
        <c:lblOffset val="100"/>
        <c:tickLblSkip val="1"/>
        <c:noMultiLvlLbl val="0"/>
      </c:catAx>
      <c:valAx>
        <c:axId val="1"/>
        <c:scaling>
          <c:orientation val="minMax"/>
        </c:scaling>
        <c:delete val="0"/>
        <c:axPos val="l"/>
        <c:majorGridlines>
          <c:spPr>
            <a:ln w="3175" cap="flat" cmpd="sng" algn="ctr">
              <a:solidFill>
                <a:srgbClr val="000000"/>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075" b="0" i="0" u="none" strike="noStrike" kern="1200" baseline="0">
                <a:solidFill>
                  <a:srgbClr val="000000"/>
                </a:solidFill>
                <a:latin typeface="Calibri"/>
                <a:ea typeface="Calibri"/>
                <a:cs typeface="Calibri"/>
              </a:defRPr>
            </a:pPr>
            <a:endParaRPr lang="zh-CN"/>
          </a:p>
        </c:txPr>
        <c:crossAx val="789055616"/>
        <c:crosses val="autoZero"/>
        <c:crossBetween val="between"/>
      </c:valAx>
      <c:spPr>
        <a:solidFill>
          <a:srgbClr val="C0C0C0"/>
        </a:solidFill>
        <a:ln w="12699">
          <a:solidFill>
            <a:srgbClr val="808080"/>
          </a:solidFill>
          <a:prstDash val="solid"/>
        </a:ln>
      </c:spPr>
    </c:plotArea>
    <c:legend>
      <c:legendPos val="r"/>
      <c:layout>
        <c:manualLayout>
          <c:xMode val="edge"/>
          <c:yMode val="edge"/>
          <c:x val="0.83653846153846201"/>
          <c:y val="0.25581395348837199"/>
          <c:w val="0.15384615384615399"/>
          <c:h val="0.413953488372093"/>
        </c:manualLayout>
      </c:layout>
      <c:overlay val="0"/>
      <c:spPr>
        <a:solidFill>
          <a:srgbClr val="FFFFFF"/>
        </a:solidFill>
        <a:ln w="3175">
          <a:solidFill>
            <a:srgbClr val="000000"/>
          </a:solidFill>
          <a:prstDash val="solid"/>
        </a:ln>
      </c:spPr>
      <c:txPr>
        <a:bodyPr rot="0" spcFirstLastPara="0" vertOverflow="ellipsis" vert="horz" wrap="square" anchor="ctr" anchorCtr="1"/>
        <a:lstStyle/>
        <a:p>
          <a:pPr>
            <a:defRPr lang="zh-CN" sz="985" b="0" i="0" u="none" strike="noStrike" kern="1200" baseline="0">
              <a:solidFill>
                <a:srgbClr val="000000"/>
              </a:solidFill>
              <a:latin typeface="Calibri"/>
              <a:ea typeface="Calibri"/>
              <a:cs typeface="Calibri"/>
            </a:defRPr>
          </a:pPr>
          <a:endParaRPr lang="zh-CN"/>
        </a:p>
      </c:txPr>
    </c:legend>
    <c:plotVisOnly val="1"/>
    <c:dispBlanksAs val="gap"/>
    <c:showDLblsOverMax val="0"/>
  </c:chart>
  <c:spPr>
    <a:noFill/>
    <a:ln w="6350" cap="flat" cmpd="sng" algn="ctr">
      <a:noFill/>
      <a:prstDash val="solid"/>
      <a:round/>
    </a:ln>
  </c:spPr>
  <c:txPr>
    <a:bodyPr/>
    <a:lstStyle/>
    <a:p>
      <a:pPr>
        <a:defRPr lang="zh-CN" sz="1075" b="0" i="0" u="none" strike="noStrike" baseline="0">
          <a:solidFill>
            <a:srgbClr val="000000"/>
          </a:solidFill>
          <a:latin typeface="Calibri"/>
          <a:ea typeface="Calibri"/>
          <a:cs typeface="Calibri"/>
        </a:defRPr>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04314329738099"/>
          <c:y val="6.7367691241044594E-2"/>
          <c:w val="0.66215716486902898"/>
          <c:h val="0.76101224867113504"/>
        </c:manualLayout>
      </c:layout>
      <c:barChart>
        <c:barDir val="col"/>
        <c:grouping val="clustered"/>
        <c:varyColors val="0"/>
        <c:ser>
          <c:idx val="1"/>
          <c:order val="0"/>
          <c:tx>
            <c:strRef>
              <c:f>Sheet1!$A$2</c:f>
              <c:strCache>
                <c:ptCount val="1"/>
                <c:pt idx="0">
                  <c:v>收入</c:v>
                </c:pt>
              </c:strCache>
            </c:strRef>
          </c:tx>
          <c:spPr>
            <a:solidFill>
              <a:srgbClr val="993366"/>
            </a:solidFill>
            <a:ln w="12700">
              <a:solidFill>
                <a:srgbClr val="000000"/>
              </a:solidFill>
              <a:prstDash val="solid"/>
            </a:ln>
          </c:spPr>
          <c:invertIfNegative val="0"/>
          <c:cat>
            <c:numRef>
              <c:f>Sheet1!$B$1:$E$1</c:f>
              <c:numCache>
                <c:formatCode>General</c:formatCode>
                <c:ptCount val="4"/>
                <c:pt idx="0">
                  <c:v>2024</c:v>
                </c:pt>
                <c:pt idx="1">
                  <c:v>2023</c:v>
                </c:pt>
              </c:numCache>
            </c:numRef>
          </c:cat>
          <c:val>
            <c:numRef>
              <c:f>Sheet1!$B$2:$E$2</c:f>
              <c:numCache>
                <c:formatCode>General</c:formatCode>
                <c:ptCount val="4"/>
                <c:pt idx="0">
                  <c:v>3580.38</c:v>
                </c:pt>
                <c:pt idx="1">
                  <c:v>3682.83</c:v>
                </c:pt>
              </c:numCache>
            </c:numRef>
          </c:val>
          <c:extLst>
            <c:ext xmlns:c16="http://schemas.microsoft.com/office/drawing/2014/chart" uri="{C3380CC4-5D6E-409C-BE32-E72D297353CC}">
              <c16:uniqueId val="{00000000-1757-4425-AFF3-8F315F8448E9}"/>
            </c:ext>
          </c:extLst>
        </c:ser>
        <c:ser>
          <c:idx val="2"/>
          <c:order val="1"/>
          <c:tx>
            <c:strRef>
              <c:f>Sheet1!$A$3</c:f>
              <c:strCache>
                <c:ptCount val="1"/>
                <c:pt idx="0">
                  <c:v>支出</c:v>
                </c:pt>
              </c:strCache>
            </c:strRef>
          </c:tx>
          <c:spPr>
            <a:solidFill>
              <a:srgbClr val="FFFFCC"/>
            </a:solidFill>
            <a:ln w="12700">
              <a:solidFill>
                <a:srgbClr val="000000"/>
              </a:solidFill>
              <a:prstDash val="solid"/>
            </a:ln>
          </c:spPr>
          <c:invertIfNegative val="0"/>
          <c:cat>
            <c:numRef>
              <c:f>Sheet1!$B$1:$E$1</c:f>
              <c:numCache>
                <c:formatCode>General</c:formatCode>
                <c:ptCount val="4"/>
                <c:pt idx="0">
                  <c:v>2024</c:v>
                </c:pt>
                <c:pt idx="1">
                  <c:v>2023</c:v>
                </c:pt>
              </c:numCache>
            </c:numRef>
          </c:cat>
          <c:val>
            <c:numRef>
              <c:f>Sheet1!$B$3:$E$3</c:f>
              <c:numCache>
                <c:formatCode>General</c:formatCode>
                <c:ptCount val="4"/>
                <c:pt idx="0">
                  <c:v>3580.35</c:v>
                </c:pt>
                <c:pt idx="1">
                  <c:v>3682.83</c:v>
                </c:pt>
              </c:numCache>
            </c:numRef>
          </c:val>
          <c:extLst>
            <c:ext xmlns:c16="http://schemas.microsoft.com/office/drawing/2014/chart" uri="{C3380CC4-5D6E-409C-BE32-E72D297353CC}">
              <c16:uniqueId val="{00000001-1757-4425-AFF3-8F315F8448E9}"/>
            </c:ext>
          </c:extLst>
        </c:ser>
        <c:dLbls>
          <c:showLegendKey val="0"/>
          <c:showVal val="0"/>
          <c:showCatName val="0"/>
          <c:showSerName val="0"/>
          <c:showPercent val="0"/>
          <c:showBubbleSize val="0"/>
        </c:dLbls>
        <c:gapWidth val="150"/>
        <c:axId val="789055616"/>
        <c:axId val="1"/>
      </c:barChart>
      <c:catAx>
        <c:axId val="789055616"/>
        <c:scaling>
          <c:orientation val="minMax"/>
        </c:scaling>
        <c:delete val="0"/>
        <c:axPos val="b"/>
        <c:numFmt formatCode="General" sourceLinked="1"/>
        <c:majorTickMark val="in"/>
        <c:minorTickMark val="none"/>
        <c:tickLblPos val="low"/>
        <c:spPr>
          <a:ln w="3175" cap="flat" cmpd="sng" algn="ctr">
            <a:solidFill>
              <a:srgbClr val="000000"/>
            </a:solidFill>
            <a:prstDash val="solid"/>
            <a:round/>
          </a:ln>
        </c:spPr>
        <c:txPr>
          <a:bodyPr rot="0" spcFirstLastPara="0" vertOverflow="ellipsis" vert="horz" wrap="square" anchor="ctr" anchorCtr="1" forceAA="0"/>
          <a:lstStyle/>
          <a:p>
            <a:pPr>
              <a:defRPr lang="zh-CN" sz="1525" b="0" i="0" u="none" strike="noStrike" kern="1200" baseline="0">
                <a:solidFill>
                  <a:srgbClr val="000000"/>
                </a:solidFill>
                <a:latin typeface="Calibri"/>
                <a:ea typeface="Calibri"/>
                <a:cs typeface="Calibri"/>
              </a:defRPr>
            </a:pPr>
            <a:endParaRPr lang="zh-CN"/>
          </a:p>
        </c:txPr>
        <c:crossAx val="1"/>
        <c:crosses val="autoZero"/>
        <c:auto val="1"/>
        <c:lblAlgn val="ctr"/>
        <c:lblOffset val="100"/>
        <c:tickLblSkip val="1"/>
        <c:noMultiLvlLbl val="1"/>
      </c:catAx>
      <c:valAx>
        <c:axId val="1"/>
        <c:scaling>
          <c:orientation val="minMax"/>
        </c:scaling>
        <c:delete val="0"/>
        <c:axPos val="l"/>
        <c:majorGridlines>
          <c:spPr>
            <a:ln w="3175" cap="flat" cmpd="sng" algn="ctr">
              <a:solidFill>
                <a:srgbClr val="000000"/>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525" b="0" i="0" u="none" strike="noStrike" kern="1200" baseline="0">
                <a:solidFill>
                  <a:srgbClr val="000000"/>
                </a:solidFill>
                <a:latin typeface="Calibri"/>
                <a:ea typeface="Calibri"/>
                <a:cs typeface="Calibri"/>
              </a:defRPr>
            </a:pPr>
            <a:endParaRPr lang="zh-CN"/>
          </a:p>
        </c:txPr>
        <c:crossAx val="789055616"/>
        <c:crosses val="autoZero"/>
        <c:crossBetween val="between"/>
      </c:valAx>
      <c:spPr>
        <a:solidFill>
          <a:srgbClr val="C0C0C0"/>
        </a:solidFill>
        <a:ln w="12700">
          <a:solidFill>
            <a:srgbClr val="808080"/>
          </a:solidFill>
          <a:prstDash val="solid"/>
        </a:ln>
        <a:effectLst/>
      </c:spPr>
    </c:plotArea>
    <c:legend>
      <c:legendPos val="r"/>
      <c:layout>
        <c:manualLayout>
          <c:xMode val="edge"/>
          <c:yMode val="edge"/>
          <c:x val="0.85500770416024696"/>
          <c:y val="0.424774670672521"/>
          <c:w val="0.133744221879815"/>
          <c:h val="0.169632539865958"/>
        </c:manualLayout>
      </c:layout>
      <c:overlay val="0"/>
      <c:spPr>
        <a:noFill/>
        <a:ln w="3175">
          <a:solidFill>
            <a:srgbClr val="000000"/>
          </a:solidFill>
          <a:prstDash val="solid"/>
        </a:ln>
      </c:spPr>
      <c:txPr>
        <a:bodyPr rot="0" spcFirstLastPara="0" vertOverflow="ellipsis" vert="horz" wrap="square" anchor="ctr" anchorCtr="1"/>
        <a:lstStyle/>
        <a:p>
          <a:pPr>
            <a:defRPr lang="zh-CN" sz="1400" b="0" i="0" u="none" strike="noStrike" kern="1200" baseline="0">
              <a:solidFill>
                <a:srgbClr val="000000"/>
              </a:solidFill>
              <a:latin typeface="Calibri"/>
              <a:ea typeface="Calibri"/>
              <a:cs typeface="Calibri"/>
            </a:defRPr>
          </a:pPr>
          <a:endParaRPr lang="zh-CN"/>
        </a:p>
      </c:txPr>
    </c:legend>
    <c:plotVisOnly val="1"/>
    <c:dispBlanksAs val="gap"/>
    <c:showDLblsOverMax val="0"/>
  </c:chart>
  <c:spPr>
    <a:noFill/>
    <a:ln w="6350" cap="flat" cmpd="sng" algn="ctr">
      <a:noFill/>
      <a:prstDash val="solid"/>
      <a:round/>
    </a:ln>
  </c:spPr>
  <c:txPr>
    <a:bodyPr/>
    <a:lstStyle/>
    <a:p>
      <a:pPr>
        <a:defRPr lang="zh-CN" sz="1525" b="0" i="0" u="none" strike="noStrike" baseline="0">
          <a:solidFill>
            <a:srgbClr val="000000"/>
          </a:solidFill>
          <a:latin typeface="Calibri"/>
          <a:ea typeface="Calibri"/>
          <a:cs typeface="Calibri"/>
        </a:defRPr>
      </a:pPr>
      <a:endParaRPr lang="zh-CN"/>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853320393733497E-2"/>
          <c:y val="9.7830894389179607E-2"/>
          <c:w val="0.59524430382013604"/>
          <c:h val="0.89132181097252305"/>
        </c:manualLayout>
      </c:layout>
      <c:pieChart>
        <c:varyColors val="1"/>
        <c:ser>
          <c:idx val="0"/>
          <c:order val="0"/>
          <c:tx>
            <c:strRef>
              <c:f>Sheet1!$A$2</c:f>
              <c:strCache>
                <c:ptCount val="1"/>
                <c:pt idx="0">
                  <c:v>收入</c:v>
                </c:pt>
              </c:strCache>
            </c:strRef>
          </c:tx>
          <c:spPr>
            <a:solidFill>
              <a:srgbClr val="9999FF"/>
            </a:solidFill>
            <a:ln w="12697">
              <a:solidFill>
                <a:srgbClr val="000000"/>
              </a:solidFill>
              <a:prstDash val="solid"/>
            </a:ln>
          </c:spPr>
          <c:dPt>
            <c:idx val="0"/>
            <c:bubble3D val="0"/>
            <c:extLst>
              <c:ext xmlns:c16="http://schemas.microsoft.com/office/drawing/2014/chart" uri="{C3380CC4-5D6E-409C-BE32-E72D297353CC}">
                <c16:uniqueId val="{00000001-9F36-412A-AB33-1656E651AAF6}"/>
              </c:ext>
            </c:extLst>
          </c:dPt>
          <c:dPt>
            <c:idx val="1"/>
            <c:bubble3D val="0"/>
            <c:spPr>
              <a:solidFill>
                <a:srgbClr val="993366"/>
              </a:solidFill>
              <a:ln w="12697">
                <a:solidFill>
                  <a:srgbClr val="000000"/>
                </a:solidFill>
                <a:prstDash val="solid"/>
              </a:ln>
            </c:spPr>
            <c:extLst>
              <c:ext xmlns:c16="http://schemas.microsoft.com/office/drawing/2014/chart" uri="{C3380CC4-5D6E-409C-BE32-E72D297353CC}">
                <c16:uniqueId val="{00000003-9F36-412A-AB33-1656E651AAF6}"/>
              </c:ext>
            </c:extLst>
          </c:dPt>
          <c:dLbls>
            <c:dLbl>
              <c:idx val="0"/>
              <c:tx>
                <c:rich>
                  <a:bodyPr/>
                  <a:lstStyle/>
                  <a:p>
                    <a:r>
                      <a:rPr lang="en-US" altLang="zh-CN" sz="1100"/>
                      <a:t>3255.42</a:t>
                    </a:r>
                    <a:r>
                      <a:rPr altLang="en-US" sz="1100">
                        <a:ea typeface="宋体" charset="0"/>
                      </a:rPr>
                      <a:t>万元</a:t>
                    </a:r>
                  </a:p>
                </c:rich>
              </c:tx>
              <c:dLblPos val="ctr"/>
              <c:showLegendKey val="0"/>
              <c:showVal val="1"/>
              <c:showCatName val="0"/>
              <c:showSerName val="0"/>
              <c:showPercent val="0"/>
              <c:showBubbleSize val="0"/>
              <c:extLst>
                <c:ext xmlns:c15="http://schemas.microsoft.com/office/drawing/2012/chart" uri="{CE6537A1-D6FC-4f65-9D91-7224C49458BB}">
                  <c15:layout>
                    <c:manualLayout>
                      <c:w val="0.29848883959517503"/>
                      <c:h val="0.178534357483911"/>
                    </c:manualLayout>
                  </c15:layout>
                  <c15:showDataLabelsRange val="0"/>
                </c:ext>
                <c:ext xmlns:c16="http://schemas.microsoft.com/office/drawing/2014/chart" uri="{C3380CC4-5D6E-409C-BE32-E72D297353CC}">
                  <c16:uniqueId val="{00000001-9F36-412A-AB33-1656E651AAF6}"/>
                </c:ext>
              </c:extLst>
            </c:dLbl>
            <c:dLbl>
              <c:idx val="1"/>
              <c:layout>
                <c:manualLayout>
                  <c:x val="6.6732842658785999E-2"/>
                  <c:y val="0.130725477562005"/>
                </c:manualLayout>
              </c:layout>
              <c:tx>
                <c:rich>
                  <a:bodyPr/>
                  <a:lstStyle/>
                  <a:p>
                    <a:r>
                      <a:rPr lang="en-US" altLang="zh-CN" sz="1050"/>
                      <a:t>116.3</a:t>
                    </a:r>
                    <a:r>
                      <a:rPr altLang="en-US" sz="1050">
                        <a:ea typeface="宋体" charset="0"/>
                      </a:rPr>
                      <a:t>万元</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9F36-412A-AB33-1656E651AAF6}"/>
                </c:ext>
              </c:extLst>
            </c:dLbl>
            <c:spPr>
              <a:noFill/>
              <a:ln>
                <a:noFill/>
              </a:ln>
              <a:effectLst/>
            </c:spPr>
            <c:txPr>
              <a:bodyPr rot="0" spcFirstLastPara="0" vertOverflow="ellipsis" vert="horz" wrap="square" lIns="38100" tIns="19050" rIns="38100" bIns="19050" anchor="ctr" anchorCtr="1"/>
              <a:lstStyle/>
              <a:p>
                <a:pPr>
                  <a:defRPr lang="zh-CN" sz="1525" b="0" i="0" u="none" strike="noStrike" kern="1200" baseline="0">
                    <a:solidFill>
                      <a:srgbClr val="000000"/>
                    </a:solidFill>
                    <a:latin typeface="Calibri"/>
                    <a:ea typeface="Calibri"/>
                    <a:cs typeface="Calibri"/>
                  </a:defRPr>
                </a:pPr>
                <a:endParaRPr lang="zh-CN"/>
              </a:p>
            </c:txPr>
            <c:dLblPos val="ctr"/>
            <c:showLegendKey val="0"/>
            <c:showVal val="1"/>
            <c:showCatName val="0"/>
            <c:showSerName val="0"/>
            <c:showPercent val="0"/>
            <c:showBubbleSize val="0"/>
            <c:showLeaderLines val="1"/>
            <c:extLst>
              <c:ext xmlns:c15="http://schemas.microsoft.com/office/drawing/2012/chart" uri="{CE6537A1-D6FC-4f65-9D91-7224C49458BB}"/>
            </c:extLst>
          </c:dLbls>
          <c:cat>
            <c:strRef>
              <c:f>Sheet1!$B$1:$C$1</c:f>
              <c:strCache>
                <c:ptCount val="2"/>
                <c:pt idx="0">
                  <c:v>财政拨款收入</c:v>
                </c:pt>
                <c:pt idx="1">
                  <c:v>其他收入</c:v>
                </c:pt>
              </c:strCache>
            </c:strRef>
          </c:cat>
          <c:val>
            <c:numRef>
              <c:f>Sheet1!$B$2:$C$2</c:f>
              <c:numCache>
                <c:formatCode>g/"通""用""格""式"</c:formatCode>
                <c:ptCount val="2"/>
                <c:pt idx="0">
                  <c:v>3255.42</c:v>
                </c:pt>
                <c:pt idx="1">
                  <c:v>116.13</c:v>
                </c:pt>
              </c:numCache>
            </c:numRef>
          </c:val>
          <c:extLst>
            <c:ext xmlns:c16="http://schemas.microsoft.com/office/drawing/2014/chart" uri="{C3380CC4-5D6E-409C-BE32-E72D297353CC}">
              <c16:uniqueId val="{00000004-9F36-412A-AB33-1656E651AAF6}"/>
            </c:ext>
          </c:extLst>
        </c:ser>
        <c:dLbls>
          <c:showLegendKey val="0"/>
          <c:showVal val="1"/>
          <c:showCatName val="0"/>
          <c:showSerName val="0"/>
          <c:showPercent val="0"/>
          <c:showBubbleSize val="0"/>
          <c:showLeaderLines val="1"/>
        </c:dLbls>
        <c:firstSliceAng val="0"/>
      </c:pieChart>
      <c:spPr>
        <a:solidFill>
          <a:srgbClr val="C0C0C0"/>
        </a:solidFill>
        <a:ln w="12697">
          <a:solidFill>
            <a:srgbClr val="808080"/>
          </a:solidFill>
          <a:prstDash val="solid"/>
        </a:ln>
      </c:spPr>
    </c:plotArea>
    <c:legend>
      <c:legendPos val="r"/>
      <c:layout>
        <c:manualLayout>
          <c:xMode val="edge"/>
          <c:yMode val="edge"/>
          <c:x val="0.724802440038819"/>
          <c:y val="0.436993979655387"/>
          <c:w val="0.26674060723693299"/>
          <c:h val="0.164210089267179"/>
        </c:manualLayout>
      </c:layout>
      <c:overlay val="0"/>
      <c:spPr>
        <a:solidFill>
          <a:srgbClr val="FFFFFF"/>
        </a:solidFill>
        <a:ln w="3174">
          <a:solidFill>
            <a:srgbClr val="000000"/>
          </a:solidFill>
          <a:prstDash val="solid"/>
        </a:ln>
      </c:spPr>
      <c:txPr>
        <a:bodyPr rot="0" spcFirstLastPara="0" vertOverflow="ellipsis" vert="horz" wrap="square" anchor="ctr" anchorCtr="1"/>
        <a:lstStyle/>
        <a:p>
          <a:pPr>
            <a:defRPr lang="zh-CN" sz="1400" b="0" i="0" u="none" strike="noStrike" kern="1200" baseline="0">
              <a:solidFill>
                <a:srgbClr val="000000"/>
              </a:solidFill>
              <a:latin typeface="Calibri"/>
              <a:ea typeface="Calibri"/>
              <a:cs typeface="Calibri"/>
            </a:defRPr>
          </a:pPr>
          <a:endParaRPr lang="zh-CN"/>
        </a:p>
      </c:txPr>
    </c:legend>
    <c:plotVisOnly val="1"/>
    <c:dispBlanksAs val="zero"/>
    <c:showDLblsOverMax val="0"/>
  </c:chart>
  <c:spPr>
    <a:noFill/>
    <a:ln w="6350" cap="flat" cmpd="sng" algn="ctr">
      <a:noFill/>
      <a:prstDash val="solid"/>
      <a:round/>
    </a:ln>
  </c:spPr>
  <c:txPr>
    <a:bodyPr/>
    <a:lstStyle/>
    <a:p>
      <a:pPr>
        <a:defRPr lang="zh-CN" sz="1525" b="0" i="0" u="none" strike="noStrike" baseline="0">
          <a:solidFill>
            <a:srgbClr val="000000"/>
          </a:solidFill>
          <a:latin typeface="Calibri"/>
          <a:ea typeface="Calibri"/>
          <a:cs typeface="Calibri"/>
        </a:defRPr>
      </a:pPr>
      <a:endParaRPr lang="zh-C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917864476385999"/>
          <c:y val="0.107123331108466"/>
          <c:w val="0.45025976958521602"/>
          <c:h val="0.87014487217460301"/>
        </c:manualLayout>
      </c:layout>
      <c:pieChart>
        <c:varyColors val="1"/>
        <c:ser>
          <c:idx val="0"/>
          <c:order val="0"/>
          <c:tx>
            <c:strRef>
              <c:f>Sheet1!$A$2</c:f>
              <c:strCache>
                <c:ptCount val="1"/>
                <c:pt idx="0">
                  <c:v>支出</c:v>
                </c:pt>
              </c:strCache>
            </c:strRef>
          </c:tx>
          <c:spPr>
            <a:solidFill>
              <a:srgbClr val="9999FF"/>
            </a:solidFill>
            <a:ln w="12699">
              <a:solidFill>
                <a:srgbClr val="000000"/>
              </a:solidFill>
              <a:prstDash val="solid"/>
            </a:ln>
          </c:spPr>
          <c:dPt>
            <c:idx val="0"/>
            <c:bubble3D val="0"/>
            <c:extLst>
              <c:ext xmlns:c16="http://schemas.microsoft.com/office/drawing/2014/chart" uri="{C3380CC4-5D6E-409C-BE32-E72D297353CC}">
                <c16:uniqueId val="{00000001-29BC-4101-971D-1DDA8DE55166}"/>
              </c:ext>
            </c:extLst>
          </c:dPt>
          <c:dPt>
            <c:idx val="1"/>
            <c:bubble3D val="0"/>
            <c:spPr>
              <a:solidFill>
                <a:srgbClr val="993366"/>
              </a:solidFill>
              <a:ln w="12699">
                <a:solidFill>
                  <a:srgbClr val="000000"/>
                </a:solidFill>
                <a:prstDash val="solid"/>
              </a:ln>
            </c:spPr>
            <c:extLst>
              <c:ext xmlns:c16="http://schemas.microsoft.com/office/drawing/2014/chart" uri="{C3380CC4-5D6E-409C-BE32-E72D297353CC}">
                <c16:uniqueId val="{00000003-29BC-4101-971D-1DDA8DE55166}"/>
              </c:ext>
            </c:extLst>
          </c:dPt>
          <c:dLbls>
            <c:dLbl>
              <c:idx val="0"/>
              <c:tx>
                <c:rich>
                  <a:bodyPr/>
                  <a:lstStyle/>
                  <a:p>
                    <a:r>
                      <a:rPr lang="en-US" altLang="zh-CN" sz="1000"/>
                      <a:t>1624.13</a:t>
                    </a:r>
                    <a:r>
                      <a:rPr altLang="en-US" sz="1000">
                        <a:ea typeface="宋体" charset="0"/>
                      </a:rPr>
                      <a:t>万元</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9BC-4101-971D-1DDA8DE55166}"/>
                </c:ext>
              </c:extLst>
            </c:dLbl>
            <c:dLbl>
              <c:idx val="1"/>
              <c:tx>
                <c:rich>
                  <a:bodyPr/>
                  <a:lstStyle/>
                  <a:p>
                    <a:r>
                      <a:rPr lang="en-US" altLang="zh-CN" sz="1000"/>
                      <a:t>1732.11</a:t>
                    </a:r>
                    <a:r>
                      <a:rPr altLang="en-US" sz="1000">
                        <a:ea typeface="宋体" charset="0"/>
                      </a:rPr>
                      <a:t>万元</a:t>
                    </a:r>
                  </a:p>
                </c:rich>
              </c:tx>
              <c:dLblPos val="ctr"/>
              <c:showLegendKey val="0"/>
              <c:showVal val="1"/>
              <c:showCatName val="0"/>
              <c:showSerName val="0"/>
              <c:showPercent val="0"/>
              <c:showBubbleSize val="0"/>
              <c:extLst>
                <c:ext xmlns:c15="http://schemas.microsoft.com/office/drawing/2012/chart" uri="{CE6537A1-D6FC-4f65-9D91-7224C49458BB}">
                  <c15:layout>
                    <c:manualLayout>
                      <c:w val="0.19671457905544101"/>
                      <c:h val="0.23915343915343901"/>
                    </c:manualLayout>
                  </c15:layout>
                  <c15:showDataLabelsRange val="0"/>
                </c:ext>
                <c:ext xmlns:c16="http://schemas.microsoft.com/office/drawing/2014/chart" uri="{C3380CC4-5D6E-409C-BE32-E72D297353CC}">
                  <c16:uniqueId val="{00000003-29BC-4101-971D-1DDA8DE55166}"/>
                </c:ext>
              </c:extLst>
            </c:dLbl>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rgbClr val="000000"/>
                    </a:solidFill>
                    <a:latin typeface="Calibri"/>
                    <a:ea typeface="Calibri"/>
                    <a:cs typeface="Calibri"/>
                  </a:defRPr>
                </a:pPr>
                <a:endParaRPr lang="zh-CN"/>
              </a:p>
            </c:txPr>
            <c:dLblPos val="ctr"/>
            <c:showLegendKey val="0"/>
            <c:showVal val="1"/>
            <c:showCatName val="0"/>
            <c:showSerName val="0"/>
            <c:showPercent val="0"/>
            <c:showBubbleSize val="0"/>
            <c:showLeaderLines val="1"/>
            <c:extLst>
              <c:ext xmlns:c15="http://schemas.microsoft.com/office/drawing/2012/chart" uri="{CE6537A1-D6FC-4f65-9D91-7224C49458BB}"/>
            </c:extLst>
          </c:dLbls>
          <c:cat>
            <c:strRef>
              <c:f>Sheet1!$B$1:$C$1</c:f>
              <c:strCache>
                <c:ptCount val="2"/>
                <c:pt idx="0">
                  <c:v>基本支出</c:v>
                </c:pt>
                <c:pt idx="1">
                  <c:v>项目支出</c:v>
                </c:pt>
              </c:strCache>
            </c:strRef>
          </c:cat>
          <c:val>
            <c:numRef>
              <c:f>Sheet1!$B$2:$C$2</c:f>
              <c:numCache>
                <c:formatCode>g/"通""用""格""式"</c:formatCode>
                <c:ptCount val="2"/>
                <c:pt idx="0">
                  <c:v>1624.13</c:v>
                </c:pt>
                <c:pt idx="1">
                  <c:v>1732.11</c:v>
                </c:pt>
              </c:numCache>
            </c:numRef>
          </c:val>
          <c:extLst>
            <c:ext xmlns:c16="http://schemas.microsoft.com/office/drawing/2014/chart" uri="{C3380CC4-5D6E-409C-BE32-E72D297353CC}">
              <c16:uniqueId val="{00000004-29BC-4101-971D-1DDA8DE55166}"/>
            </c:ext>
          </c:extLst>
        </c:ser>
        <c:dLbls>
          <c:showLegendKey val="0"/>
          <c:showVal val="1"/>
          <c:showCatName val="0"/>
          <c:showSerName val="0"/>
          <c:showPercent val="0"/>
          <c:showBubbleSize val="0"/>
          <c:showLeaderLines val="1"/>
        </c:dLbls>
        <c:firstSliceAng val="0"/>
      </c:pieChart>
      <c:spPr>
        <a:solidFill>
          <a:srgbClr val="C0C0C0"/>
        </a:solidFill>
        <a:ln w="12699">
          <a:solidFill>
            <a:srgbClr val="808080"/>
          </a:solidFill>
          <a:prstDash val="solid"/>
        </a:ln>
      </c:spPr>
    </c:plotArea>
    <c:legend>
      <c:legendPos val="r"/>
      <c:layout>
        <c:manualLayout>
          <c:xMode val="edge"/>
          <c:yMode val="edge"/>
          <c:x val="0.67954403591922496"/>
          <c:y val="0.732307927762473"/>
          <c:w val="0.184486373165618"/>
          <c:h val="0.202479338842975"/>
        </c:manualLayout>
      </c:layout>
      <c:overlay val="0"/>
      <c:spPr>
        <a:noFill/>
        <a:ln w="3175">
          <a:solidFill>
            <a:srgbClr val="000000"/>
          </a:solidFill>
          <a:prstDash val="solid"/>
        </a:ln>
      </c:spPr>
      <c:txPr>
        <a:bodyPr rot="0" spcFirstLastPara="0" vertOverflow="ellipsis" vert="horz" wrap="square" anchor="ctr" anchorCtr="1"/>
        <a:lstStyle/>
        <a:p>
          <a:pPr>
            <a:defRPr lang="zh-CN" sz="1100" b="0" i="0" u="none" strike="noStrike" kern="1200" baseline="0">
              <a:solidFill>
                <a:srgbClr val="000000"/>
              </a:solidFill>
              <a:latin typeface="Calibri"/>
              <a:ea typeface="Calibri"/>
              <a:cs typeface="Calibri"/>
            </a:defRPr>
          </a:pPr>
          <a:endParaRPr lang="zh-CN"/>
        </a:p>
      </c:txPr>
    </c:legend>
    <c:plotVisOnly val="1"/>
    <c:dispBlanksAs val="zero"/>
    <c:showDLblsOverMax val="0"/>
  </c:chart>
  <c:spPr>
    <a:noFill/>
    <a:ln w="6350" cap="flat" cmpd="sng" algn="ctr">
      <a:noFill/>
      <a:prstDash val="solid"/>
      <a:round/>
    </a:ln>
  </c:spPr>
  <c:txPr>
    <a:bodyPr/>
    <a:lstStyle/>
    <a:p>
      <a:pPr>
        <a:defRPr lang="zh-CN" sz="1200" b="0" i="0" u="none" strike="noStrike" baseline="0">
          <a:solidFill>
            <a:srgbClr val="000000"/>
          </a:solidFill>
          <a:latin typeface="Calibri"/>
          <a:ea typeface="Calibri"/>
          <a:cs typeface="Calibri"/>
        </a:defRPr>
      </a:pPr>
      <a:endParaRPr lang="zh-CN"/>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592592592592601E-2"/>
          <c:y val="3.6734693877551003E-2"/>
          <c:w val="0.76131687242798396"/>
          <c:h val="0.8"/>
        </c:manualLayout>
      </c:layout>
      <c:barChart>
        <c:barDir val="col"/>
        <c:grouping val="clustered"/>
        <c:varyColors val="0"/>
        <c:ser>
          <c:idx val="0"/>
          <c:order val="0"/>
          <c:tx>
            <c:strRef>
              <c:f>Sheet1!$A$2</c:f>
              <c:strCache>
                <c:ptCount val="1"/>
                <c:pt idx="0">
                  <c:v>2024</c:v>
                </c:pt>
              </c:strCache>
            </c:strRef>
          </c:tx>
          <c:spPr>
            <a:solidFill>
              <a:srgbClr val="9999FF"/>
            </a:solidFill>
            <a:ln w="12700">
              <a:solidFill>
                <a:srgbClr val="000000"/>
              </a:solidFill>
              <a:prstDash val="solid"/>
            </a:ln>
          </c:spPr>
          <c:invertIfNegative val="0"/>
          <c:dLbls>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rgbClr val="000000"/>
                    </a:solidFill>
                    <a:latin typeface="Calibri"/>
                    <a:ea typeface="Calibri"/>
                    <a:cs typeface="Calibri"/>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Sheet1!$B$1:$B$1</c:f>
              <c:strCache>
                <c:ptCount val="1"/>
                <c:pt idx="0">
                  <c:v>一般公共预算财政拨款支出</c:v>
                </c:pt>
              </c:strCache>
            </c:strRef>
          </c:cat>
          <c:val>
            <c:numRef>
              <c:f>Sheet1!$B$2:$B$2</c:f>
              <c:numCache>
                <c:formatCode>General</c:formatCode>
                <c:ptCount val="1"/>
                <c:pt idx="0">
                  <c:v>3263.2</c:v>
                </c:pt>
              </c:numCache>
            </c:numRef>
          </c:val>
          <c:extLst>
            <c:ext xmlns:c16="http://schemas.microsoft.com/office/drawing/2014/chart" uri="{C3380CC4-5D6E-409C-BE32-E72D297353CC}">
              <c16:uniqueId val="{00000000-6B16-4D77-90AA-83E2E0D6B344}"/>
            </c:ext>
          </c:extLst>
        </c:ser>
        <c:ser>
          <c:idx val="1"/>
          <c:order val="1"/>
          <c:tx>
            <c:strRef>
              <c:f>Sheet1!$A$3</c:f>
              <c:strCache>
                <c:ptCount val="1"/>
                <c:pt idx="0">
                  <c:v>2023</c:v>
                </c:pt>
              </c:strCache>
            </c:strRef>
          </c:tx>
          <c:spPr>
            <a:solidFill>
              <a:srgbClr val="993366"/>
            </a:solidFill>
            <a:ln w="12700">
              <a:solidFill>
                <a:srgbClr val="000000"/>
              </a:solidFill>
              <a:prstDash val="solid"/>
            </a:ln>
          </c:spPr>
          <c:invertIfNegative val="0"/>
          <c:dLbls>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rgbClr val="000000"/>
                    </a:solidFill>
                    <a:latin typeface="Calibri"/>
                    <a:ea typeface="Calibri"/>
                    <a:cs typeface="Calibri"/>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Sheet1!$B$1:$B$1</c:f>
              <c:strCache>
                <c:ptCount val="1"/>
                <c:pt idx="0">
                  <c:v>一般公共预算财政拨款支出</c:v>
                </c:pt>
              </c:strCache>
            </c:strRef>
          </c:cat>
          <c:val>
            <c:numRef>
              <c:f>Sheet1!$B$3:$B$3</c:f>
              <c:numCache>
                <c:formatCode>General</c:formatCode>
                <c:ptCount val="1"/>
                <c:pt idx="0">
                  <c:v>3458.88</c:v>
                </c:pt>
              </c:numCache>
            </c:numRef>
          </c:val>
          <c:extLst>
            <c:ext xmlns:c16="http://schemas.microsoft.com/office/drawing/2014/chart" uri="{C3380CC4-5D6E-409C-BE32-E72D297353CC}">
              <c16:uniqueId val="{00000001-6B16-4D77-90AA-83E2E0D6B344}"/>
            </c:ext>
          </c:extLst>
        </c:ser>
        <c:dLbls>
          <c:showLegendKey val="0"/>
          <c:showVal val="1"/>
          <c:showCatName val="0"/>
          <c:showSerName val="0"/>
          <c:showPercent val="0"/>
          <c:showBubbleSize val="0"/>
        </c:dLbls>
        <c:gapWidth val="150"/>
        <c:axId val="789044400"/>
        <c:axId val="1"/>
      </c:barChart>
      <c:catAx>
        <c:axId val="789044400"/>
        <c:scaling>
          <c:orientation val="minMax"/>
        </c:scaling>
        <c:delete val="0"/>
        <c:axPos val="b"/>
        <c:numFmt formatCode="General" sourceLinked="1"/>
        <c:majorTickMark val="in"/>
        <c:minorTickMark val="none"/>
        <c:tickLblPos val="low"/>
        <c:spPr>
          <a:ln w="3175" cap="flat" cmpd="sng" algn="ctr">
            <a:solidFill>
              <a:srgbClr val="000000"/>
            </a:solidFill>
            <a:prstDash val="solid"/>
            <a:round/>
          </a:ln>
        </c:spPr>
        <c:txPr>
          <a:bodyPr rot="0" spcFirstLastPara="0" vertOverflow="ellipsis" vert="horz" wrap="square" anchor="ctr" anchorCtr="1"/>
          <a:lstStyle/>
          <a:p>
            <a:pPr>
              <a:defRPr lang="zh-CN" sz="1200" b="0" i="0" u="none" strike="noStrike" kern="1200" baseline="0">
                <a:solidFill>
                  <a:srgbClr val="000000"/>
                </a:solidFill>
                <a:latin typeface="Calibri"/>
                <a:ea typeface="Calibri"/>
                <a:cs typeface="Calibri"/>
              </a:defRPr>
            </a:pPr>
            <a:endParaRPr lang="zh-CN"/>
          </a:p>
        </c:txPr>
        <c:crossAx val="1"/>
        <c:crosses val="autoZero"/>
        <c:auto val="1"/>
        <c:lblAlgn val="ctr"/>
        <c:lblOffset val="100"/>
        <c:tickLblSkip val="1"/>
        <c:noMultiLvlLbl val="0"/>
      </c:catAx>
      <c:valAx>
        <c:axId val="1"/>
        <c:scaling>
          <c:orientation val="minMax"/>
        </c:scaling>
        <c:delete val="0"/>
        <c:axPos val="l"/>
        <c:majorGridlines>
          <c:spPr>
            <a:ln w="3175" cap="flat" cmpd="sng" algn="ctr">
              <a:solidFill>
                <a:srgbClr val="000000"/>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200" b="0" i="0" u="none" strike="noStrike" kern="1200" baseline="0">
                <a:solidFill>
                  <a:srgbClr val="000000"/>
                </a:solidFill>
                <a:latin typeface="Calibri"/>
                <a:ea typeface="Calibri"/>
                <a:cs typeface="Calibri"/>
              </a:defRPr>
            </a:pPr>
            <a:endParaRPr lang="zh-CN"/>
          </a:p>
        </c:txPr>
        <c:crossAx val="789044400"/>
        <c:crosses val="autoZero"/>
        <c:crossBetween val="between"/>
      </c:valAx>
      <c:spPr>
        <a:solidFill>
          <a:srgbClr val="C0C0C0"/>
        </a:solidFill>
        <a:ln w="12700">
          <a:solidFill>
            <a:srgbClr val="808080"/>
          </a:solidFill>
          <a:prstDash val="solid"/>
        </a:ln>
        <a:effectLst/>
      </c:spPr>
    </c:plotArea>
    <c:legend>
      <c:legendPos val="r"/>
      <c:layout>
        <c:manualLayout>
          <c:xMode val="edge"/>
          <c:yMode val="edge"/>
          <c:x val="0.87654320987654299"/>
          <c:y val="0.4"/>
          <c:w val="0.11522633744856001"/>
          <c:h val="0.2"/>
        </c:manualLayout>
      </c:layout>
      <c:overlay val="0"/>
      <c:spPr>
        <a:noFill/>
        <a:ln w="3175">
          <a:solidFill>
            <a:srgbClr val="000000"/>
          </a:solidFill>
          <a:prstDash val="solid"/>
        </a:ln>
      </c:spPr>
      <c:txPr>
        <a:bodyPr rot="0" spcFirstLastPara="0" vertOverflow="ellipsis" vert="horz" wrap="square" anchor="ctr" anchorCtr="1"/>
        <a:lstStyle/>
        <a:p>
          <a:pPr>
            <a:defRPr lang="zh-CN" sz="1100" b="0" i="0" u="none" strike="noStrike" kern="1200" baseline="0">
              <a:solidFill>
                <a:srgbClr val="000000"/>
              </a:solidFill>
              <a:latin typeface="Calibri"/>
              <a:ea typeface="Calibri"/>
              <a:cs typeface="Calibri"/>
            </a:defRPr>
          </a:pPr>
          <a:endParaRPr lang="zh-CN"/>
        </a:p>
      </c:txPr>
    </c:legend>
    <c:plotVisOnly val="1"/>
    <c:dispBlanksAs val="gap"/>
    <c:showDLblsOverMax val="0"/>
  </c:chart>
  <c:spPr>
    <a:noFill/>
    <a:ln w="6350" cap="flat" cmpd="sng" algn="ctr">
      <a:noFill/>
      <a:prstDash val="solid"/>
      <a:round/>
    </a:ln>
  </c:spPr>
  <c:txPr>
    <a:bodyPr/>
    <a:lstStyle/>
    <a:p>
      <a:pPr>
        <a:defRPr lang="zh-CN" sz="1200" b="0" i="0" u="none" strike="noStrike" baseline="0">
          <a:solidFill>
            <a:srgbClr val="000000"/>
          </a:solidFill>
          <a:latin typeface="Calibri"/>
          <a:ea typeface="Calibri"/>
          <a:cs typeface="Calibri"/>
        </a:defRPr>
      </a:pPr>
      <a:endParaRPr lang="zh-CN"/>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402597402597393E-2"/>
          <c:y val="3.6734693877551003E-2"/>
          <c:w val="0.74891774891774898"/>
          <c:h val="0.8"/>
        </c:manualLayout>
      </c:layout>
      <c:barChart>
        <c:barDir val="col"/>
        <c:grouping val="clustered"/>
        <c:varyColors val="0"/>
        <c:ser>
          <c:idx val="0"/>
          <c:order val="0"/>
          <c:tx>
            <c:strRef>
              <c:f>Sheet1!$A$2</c:f>
              <c:strCache>
                <c:ptCount val="1"/>
                <c:pt idx="0">
                  <c:v>2024</c:v>
                </c:pt>
              </c:strCache>
            </c:strRef>
          </c:tx>
          <c:spPr>
            <a:solidFill>
              <a:srgbClr val="9999FF"/>
            </a:solidFill>
            <a:ln w="12700">
              <a:solidFill>
                <a:srgbClr val="000000"/>
              </a:solidFill>
              <a:prstDash val="solid"/>
            </a:ln>
          </c:spPr>
          <c:invertIfNegative val="0"/>
          <c:dLbls>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rgbClr val="000000"/>
                    </a:solidFill>
                    <a:latin typeface="Calibri"/>
                    <a:ea typeface="Calibri"/>
                    <a:cs typeface="Calibri"/>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Sheet1!$B$1:$B$1</c:f>
              <c:strCache>
                <c:ptCount val="1"/>
                <c:pt idx="0">
                  <c:v>一般公共预算财政拨款支出</c:v>
                </c:pt>
              </c:strCache>
            </c:strRef>
          </c:cat>
          <c:val>
            <c:numRef>
              <c:f>Sheet1!$B$2:$B$2</c:f>
              <c:numCache>
                <c:formatCode>General</c:formatCode>
                <c:ptCount val="1"/>
                <c:pt idx="0">
                  <c:v>3243.27</c:v>
                </c:pt>
              </c:numCache>
            </c:numRef>
          </c:val>
          <c:extLst>
            <c:ext xmlns:c16="http://schemas.microsoft.com/office/drawing/2014/chart" uri="{C3380CC4-5D6E-409C-BE32-E72D297353CC}">
              <c16:uniqueId val="{00000000-EE97-462F-BEBA-B96AE619E3D7}"/>
            </c:ext>
          </c:extLst>
        </c:ser>
        <c:ser>
          <c:idx val="1"/>
          <c:order val="1"/>
          <c:tx>
            <c:strRef>
              <c:f>Sheet1!$A$3</c:f>
              <c:strCache>
                <c:ptCount val="1"/>
                <c:pt idx="0">
                  <c:v>2023</c:v>
                </c:pt>
              </c:strCache>
            </c:strRef>
          </c:tx>
          <c:spPr>
            <a:solidFill>
              <a:srgbClr val="993366"/>
            </a:solidFill>
            <a:ln w="12700">
              <a:solidFill>
                <a:srgbClr val="000000"/>
              </a:solidFill>
              <a:prstDash val="solid"/>
            </a:ln>
          </c:spPr>
          <c:invertIfNegative val="0"/>
          <c:dLbls>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rgbClr val="000000"/>
                    </a:solidFill>
                    <a:latin typeface="Calibri"/>
                    <a:ea typeface="Calibri"/>
                    <a:cs typeface="Calibri"/>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Sheet1!$B$1:$B$1</c:f>
              <c:strCache>
                <c:ptCount val="1"/>
                <c:pt idx="0">
                  <c:v>一般公共预算财政拨款支出</c:v>
                </c:pt>
              </c:strCache>
            </c:strRef>
          </c:cat>
          <c:val>
            <c:numRef>
              <c:f>Sheet1!$B$3:$B$3</c:f>
              <c:numCache>
                <c:formatCode>General</c:formatCode>
                <c:ptCount val="1"/>
                <c:pt idx="0">
                  <c:v>3458.88</c:v>
                </c:pt>
              </c:numCache>
            </c:numRef>
          </c:val>
          <c:extLst>
            <c:ext xmlns:c16="http://schemas.microsoft.com/office/drawing/2014/chart" uri="{C3380CC4-5D6E-409C-BE32-E72D297353CC}">
              <c16:uniqueId val="{00000001-EE97-462F-BEBA-B96AE619E3D7}"/>
            </c:ext>
          </c:extLst>
        </c:ser>
        <c:dLbls>
          <c:showLegendKey val="0"/>
          <c:showVal val="1"/>
          <c:showCatName val="0"/>
          <c:showSerName val="0"/>
          <c:showPercent val="0"/>
          <c:showBubbleSize val="0"/>
        </c:dLbls>
        <c:gapWidth val="150"/>
        <c:axId val="665485712"/>
        <c:axId val="1"/>
      </c:barChart>
      <c:catAx>
        <c:axId val="665485712"/>
        <c:scaling>
          <c:orientation val="minMax"/>
        </c:scaling>
        <c:delete val="0"/>
        <c:axPos val="b"/>
        <c:numFmt formatCode="General" sourceLinked="1"/>
        <c:majorTickMark val="in"/>
        <c:minorTickMark val="none"/>
        <c:tickLblPos val="low"/>
        <c:spPr>
          <a:ln w="3175" cap="flat" cmpd="sng" algn="ctr">
            <a:solidFill>
              <a:srgbClr val="000000"/>
            </a:solidFill>
            <a:prstDash val="solid"/>
            <a:round/>
          </a:ln>
        </c:spPr>
        <c:txPr>
          <a:bodyPr rot="0" spcFirstLastPara="0" vertOverflow="ellipsis" vert="horz" wrap="square" anchor="ctr" anchorCtr="1"/>
          <a:lstStyle/>
          <a:p>
            <a:pPr>
              <a:defRPr lang="zh-CN" sz="1200" b="0" i="0" u="none" strike="noStrike" kern="1200" baseline="0">
                <a:solidFill>
                  <a:srgbClr val="000000"/>
                </a:solidFill>
                <a:latin typeface="Calibri"/>
                <a:ea typeface="Calibri"/>
                <a:cs typeface="Calibri"/>
              </a:defRPr>
            </a:pPr>
            <a:endParaRPr lang="zh-CN"/>
          </a:p>
        </c:txPr>
        <c:crossAx val="1"/>
        <c:crosses val="autoZero"/>
        <c:auto val="1"/>
        <c:lblAlgn val="ctr"/>
        <c:lblOffset val="100"/>
        <c:tickLblSkip val="1"/>
        <c:noMultiLvlLbl val="0"/>
      </c:catAx>
      <c:valAx>
        <c:axId val="1"/>
        <c:scaling>
          <c:orientation val="minMax"/>
        </c:scaling>
        <c:delete val="0"/>
        <c:axPos val="l"/>
        <c:majorGridlines>
          <c:spPr>
            <a:ln w="3175" cap="flat" cmpd="sng" algn="ctr">
              <a:solidFill>
                <a:srgbClr val="000000"/>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200" b="0" i="0" u="none" strike="noStrike" kern="1200" baseline="0">
                <a:solidFill>
                  <a:srgbClr val="000000"/>
                </a:solidFill>
                <a:latin typeface="Calibri"/>
                <a:ea typeface="Calibri"/>
                <a:cs typeface="Calibri"/>
              </a:defRPr>
            </a:pPr>
            <a:endParaRPr lang="zh-CN"/>
          </a:p>
        </c:txPr>
        <c:crossAx val="665485712"/>
        <c:crosses val="autoZero"/>
        <c:crossBetween val="between"/>
      </c:valAx>
      <c:spPr>
        <a:solidFill>
          <a:srgbClr val="C0C0C0"/>
        </a:solidFill>
        <a:ln w="12700">
          <a:solidFill>
            <a:srgbClr val="808080"/>
          </a:solidFill>
          <a:prstDash val="solid"/>
        </a:ln>
        <a:effectLst/>
      </c:spPr>
    </c:plotArea>
    <c:legend>
      <c:legendPos val="r"/>
      <c:layout>
        <c:manualLayout>
          <c:xMode val="edge"/>
          <c:yMode val="edge"/>
          <c:x val="0.87012987012986998"/>
          <c:y val="0.4"/>
          <c:w val="0.12121212121212099"/>
          <c:h val="0.2"/>
        </c:manualLayout>
      </c:layout>
      <c:overlay val="0"/>
      <c:spPr>
        <a:noFill/>
        <a:ln w="3175">
          <a:solidFill>
            <a:srgbClr val="000000"/>
          </a:solidFill>
          <a:prstDash val="solid"/>
        </a:ln>
      </c:spPr>
      <c:txPr>
        <a:bodyPr rot="0" spcFirstLastPara="0" vertOverflow="ellipsis" vert="horz" wrap="square" anchor="ctr" anchorCtr="1"/>
        <a:lstStyle/>
        <a:p>
          <a:pPr>
            <a:defRPr lang="zh-CN" sz="1100" b="0" i="0" u="none" strike="noStrike" kern="1200" baseline="0">
              <a:solidFill>
                <a:srgbClr val="000000"/>
              </a:solidFill>
              <a:latin typeface="Calibri"/>
              <a:ea typeface="Calibri"/>
              <a:cs typeface="Calibri"/>
            </a:defRPr>
          </a:pPr>
          <a:endParaRPr lang="zh-CN"/>
        </a:p>
      </c:txPr>
    </c:legend>
    <c:plotVisOnly val="1"/>
    <c:dispBlanksAs val="gap"/>
    <c:showDLblsOverMax val="0"/>
  </c:chart>
  <c:spPr>
    <a:noFill/>
    <a:ln w="6350" cap="flat" cmpd="sng" algn="ctr">
      <a:noFill/>
      <a:prstDash val="solid"/>
      <a:round/>
    </a:ln>
  </c:spPr>
  <c:txPr>
    <a:bodyPr/>
    <a:lstStyle/>
    <a:p>
      <a:pPr>
        <a:defRPr lang="zh-CN" sz="1200" b="0" i="0" u="none" strike="noStrike" baseline="0">
          <a:solidFill>
            <a:srgbClr val="000000"/>
          </a:solidFill>
          <a:latin typeface="Calibri"/>
          <a:ea typeface="Calibri"/>
          <a:cs typeface="Calibri"/>
        </a:defRPr>
      </a:pPr>
      <a:endParaRPr lang="zh-CN"/>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8903591682419699E-3"/>
          <c:y val="0.134020618556701"/>
          <c:w val="0.54631379962192805"/>
          <c:h val="0.74484536082474195"/>
        </c:manualLayout>
      </c:layout>
      <c:pieChart>
        <c:varyColors val="1"/>
        <c:ser>
          <c:idx val="0"/>
          <c:order val="0"/>
          <c:tx>
            <c:strRef>
              <c:f>Sheet1!$B$1</c:f>
              <c:strCache>
                <c:ptCount val="1"/>
              </c:strCache>
            </c:strRef>
          </c:tx>
          <c:spPr>
            <a:solidFill>
              <a:srgbClr val="9999FF"/>
            </a:solidFill>
            <a:ln w="12700">
              <a:solidFill>
                <a:srgbClr val="000000"/>
              </a:solidFill>
              <a:prstDash val="solid"/>
            </a:ln>
          </c:spPr>
          <c:dPt>
            <c:idx val="0"/>
            <c:bubble3D val="0"/>
            <c:extLst>
              <c:ext xmlns:c16="http://schemas.microsoft.com/office/drawing/2014/chart" uri="{C3380CC4-5D6E-409C-BE32-E72D297353CC}">
                <c16:uniqueId val="{00000001-E0D4-40E7-9C22-00BD4FF57262}"/>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3-E0D4-40E7-9C22-00BD4FF57262}"/>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5-E0D4-40E7-9C22-00BD4FF57262}"/>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7-E0D4-40E7-9C22-00BD4FF57262}"/>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09-E0D4-40E7-9C22-00BD4FF57262}"/>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0B-E0D4-40E7-9C22-00BD4FF57262}"/>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0D-E0D4-40E7-9C22-00BD4FF57262}"/>
              </c:ext>
            </c:extLst>
          </c:dPt>
          <c:dPt>
            <c:idx val="7"/>
            <c:bubble3D val="0"/>
            <c:spPr>
              <a:solidFill>
                <a:srgbClr val="CCCCFF"/>
              </a:solidFill>
              <a:ln w="12700">
                <a:solidFill>
                  <a:srgbClr val="000000"/>
                </a:solidFill>
                <a:prstDash val="solid"/>
              </a:ln>
            </c:spPr>
            <c:extLst>
              <c:ext xmlns:c16="http://schemas.microsoft.com/office/drawing/2014/chart" uri="{C3380CC4-5D6E-409C-BE32-E72D297353CC}">
                <c16:uniqueId val="{0000000F-E0D4-40E7-9C22-00BD4FF57262}"/>
              </c:ext>
            </c:extLst>
          </c:dPt>
          <c:dPt>
            <c:idx val="8"/>
            <c:bubble3D val="0"/>
            <c:spPr>
              <a:solidFill>
                <a:srgbClr val="000080"/>
              </a:solidFill>
              <a:ln w="12700">
                <a:solidFill>
                  <a:srgbClr val="000000"/>
                </a:solidFill>
                <a:prstDash val="solid"/>
              </a:ln>
            </c:spPr>
            <c:extLst>
              <c:ext xmlns:c16="http://schemas.microsoft.com/office/drawing/2014/chart" uri="{C3380CC4-5D6E-409C-BE32-E72D297353CC}">
                <c16:uniqueId val="{00000011-E0D4-40E7-9C22-00BD4FF57262}"/>
              </c:ext>
            </c:extLst>
          </c:dPt>
          <c:dPt>
            <c:idx val="9"/>
            <c:bubble3D val="0"/>
            <c:spPr>
              <a:solidFill>
                <a:srgbClr val="FF00FF"/>
              </a:solidFill>
              <a:ln w="12700">
                <a:solidFill>
                  <a:srgbClr val="000000"/>
                </a:solidFill>
                <a:prstDash val="solid"/>
              </a:ln>
            </c:spPr>
            <c:extLst>
              <c:ext xmlns:c16="http://schemas.microsoft.com/office/drawing/2014/chart" uri="{C3380CC4-5D6E-409C-BE32-E72D297353CC}">
                <c16:uniqueId val="{00000013-E0D4-40E7-9C22-00BD4FF57262}"/>
              </c:ext>
            </c:extLst>
          </c:dPt>
          <c:dPt>
            <c:idx val="10"/>
            <c:bubble3D val="0"/>
            <c:spPr>
              <a:solidFill>
                <a:srgbClr val="FFFF00"/>
              </a:solidFill>
              <a:ln w="12700">
                <a:solidFill>
                  <a:srgbClr val="000000"/>
                </a:solidFill>
                <a:prstDash val="solid"/>
              </a:ln>
            </c:spPr>
            <c:extLst>
              <c:ext xmlns:c16="http://schemas.microsoft.com/office/drawing/2014/chart" uri="{C3380CC4-5D6E-409C-BE32-E72D297353CC}">
                <c16:uniqueId val="{00000015-E0D4-40E7-9C22-00BD4FF57262}"/>
              </c:ext>
            </c:extLst>
          </c:dPt>
          <c:dPt>
            <c:idx val="11"/>
            <c:bubble3D val="0"/>
            <c:spPr>
              <a:solidFill>
                <a:srgbClr val="00FFFF"/>
              </a:solidFill>
              <a:ln w="12700">
                <a:solidFill>
                  <a:srgbClr val="000000"/>
                </a:solidFill>
                <a:prstDash val="solid"/>
              </a:ln>
            </c:spPr>
            <c:extLst>
              <c:ext xmlns:c16="http://schemas.microsoft.com/office/drawing/2014/chart" uri="{C3380CC4-5D6E-409C-BE32-E72D297353CC}">
                <c16:uniqueId val="{00000017-E0D4-40E7-9C22-00BD4FF57262}"/>
              </c:ext>
            </c:extLst>
          </c:dPt>
          <c:cat>
            <c:strRef>
              <c:f>Sheet1!$A$2:$A$13</c:f>
              <c:strCache>
                <c:ptCount val="12"/>
                <c:pt idx="0">
                  <c:v>行政运行</c:v>
                </c:pt>
                <c:pt idx="1">
                  <c:v>一般行政管理事务</c:v>
                </c:pt>
                <c:pt idx="2">
                  <c:v>招商引资</c:v>
                </c:pt>
                <c:pt idx="3">
                  <c:v>行政单位离退休</c:v>
                </c:pt>
                <c:pt idx="4">
                  <c:v>机关事业单位基本养老保险缴费支出</c:v>
                </c:pt>
                <c:pt idx="5">
                  <c:v>机关事业单位职业年金缴费支出</c:v>
                </c:pt>
                <c:pt idx="6">
                  <c:v>就业见习补贴</c:v>
                </c:pt>
                <c:pt idx="7">
                  <c:v>行政单位医疗</c:v>
                </c:pt>
                <c:pt idx="8">
                  <c:v>住房公积金</c:v>
                </c:pt>
                <c:pt idx="9">
                  <c:v>专项业务活动</c:v>
                </c:pt>
                <c:pt idx="10">
                  <c:v>其他粮油物资事务支出</c:v>
                </c:pt>
                <c:pt idx="11">
                  <c:v>其他支出</c:v>
                </c:pt>
              </c:strCache>
            </c:strRef>
          </c:cat>
          <c:val>
            <c:numRef>
              <c:f>Sheet1!$B$2:$B$13</c:f>
              <c:numCache>
                <c:formatCode>g/"通""用""格""式"</c:formatCode>
                <c:ptCount val="12"/>
                <c:pt idx="0" formatCode="#,##0.00">
                  <c:v>1193.58</c:v>
                </c:pt>
                <c:pt idx="1">
                  <c:v>50</c:v>
                </c:pt>
                <c:pt idx="2">
                  <c:v>0.77</c:v>
                </c:pt>
                <c:pt idx="3">
                  <c:v>23.85</c:v>
                </c:pt>
                <c:pt idx="4">
                  <c:v>152.56</c:v>
                </c:pt>
                <c:pt idx="5">
                  <c:v>76.28</c:v>
                </c:pt>
                <c:pt idx="6">
                  <c:v>8.64</c:v>
                </c:pt>
                <c:pt idx="7">
                  <c:v>53.74</c:v>
                </c:pt>
                <c:pt idx="8">
                  <c:v>124.12</c:v>
                </c:pt>
                <c:pt idx="9">
                  <c:v>8</c:v>
                </c:pt>
                <c:pt idx="10">
                  <c:v>587</c:v>
                </c:pt>
                <c:pt idx="11">
                  <c:v>964.73</c:v>
                </c:pt>
              </c:numCache>
            </c:numRef>
          </c:val>
          <c:extLst>
            <c:ext xmlns:c16="http://schemas.microsoft.com/office/drawing/2014/chart" uri="{C3380CC4-5D6E-409C-BE32-E72D297353CC}">
              <c16:uniqueId val="{00000018-E0D4-40E7-9C22-00BD4FF57262}"/>
            </c:ext>
          </c:extLst>
        </c:ser>
        <c:dLbls>
          <c:showLegendKey val="0"/>
          <c:showVal val="0"/>
          <c:showCatName val="0"/>
          <c:showSerName val="0"/>
          <c:showPercent val="0"/>
          <c:showBubbleSize val="0"/>
          <c:showLeaderLines val="1"/>
        </c:dLbls>
        <c:firstSliceAng val="0"/>
      </c:pieChart>
      <c:spPr>
        <a:solidFill>
          <a:srgbClr val="C0C0C0"/>
        </a:solidFill>
        <a:ln w="12700">
          <a:solidFill>
            <a:srgbClr val="808080"/>
          </a:solidFill>
          <a:prstDash val="solid"/>
        </a:ln>
      </c:spPr>
    </c:plotArea>
    <c:legend>
      <c:legendPos val="r"/>
      <c:layout>
        <c:manualLayout>
          <c:xMode val="edge"/>
          <c:yMode val="edge"/>
          <c:x val="0.59925788497217103"/>
          <c:y val="0.141038525963149"/>
          <c:w val="0.29647495361781101"/>
          <c:h val="0.73400335008375195"/>
        </c:manualLayout>
      </c:layout>
      <c:overlay val="0"/>
      <c:spPr>
        <a:noFill/>
        <a:ln w="3175">
          <a:solidFill>
            <a:srgbClr val="000000"/>
          </a:solidFill>
          <a:prstDash val="solid"/>
        </a:ln>
      </c:spPr>
      <c:txPr>
        <a:bodyPr rot="0" spcFirstLastPara="0" vertOverflow="ellipsis" vert="horz" wrap="square" anchor="ctr" anchorCtr="1"/>
        <a:lstStyle/>
        <a:p>
          <a:pPr>
            <a:defRPr lang="zh-CN" sz="735" b="0" i="0" u="none" strike="noStrike" kern="1200" baseline="0">
              <a:solidFill>
                <a:srgbClr val="000000"/>
              </a:solidFill>
              <a:latin typeface="Calibri"/>
              <a:ea typeface="Calibri"/>
              <a:cs typeface="Calibri"/>
            </a:defRPr>
          </a:pPr>
          <a:endParaRPr lang="zh-CN"/>
        </a:p>
      </c:txPr>
    </c:legend>
    <c:plotVisOnly val="1"/>
    <c:dispBlanksAs val="zero"/>
    <c:showDLblsOverMax val="0"/>
  </c:chart>
  <c:spPr>
    <a:noFill/>
    <a:ln w="6350" cap="flat" cmpd="sng" algn="ctr">
      <a:noFill/>
      <a:prstDash val="solid"/>
      <a:round/>
    </a:ln>
  </c:spPr>
  <c:txPr>
    <a:bodyPr/>
    <a:lstStyle/>
    <a:p>
      <a:pPr>
        <a:defRPr lang="zh-CN" sz="800" b="0" i="0" u="none" strike="noStrike" baseline="0">
          <a:solidFill>
            <a:srgbClr val="000000"/>
          </a:solidFill>
          <a:latin typeface="Calibri"/>
          <a:ea typeface="Calibri"/>
          <a:cs typeface="Calibri"/>
        </a:defRPr>
      </a:pPr>
      <a:endParaRPr lang="zh-CN"/>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0.4995</cdr:x>
      <cdr:y>0.5</cdr:y>
    </cdr:from>
    <cdr:to>
      <cdr:x>0.55225</cdr:x>
      <cdr:y>0.55125</cdr:y>
    </cdr:to>
    <cdr:sp macro="" textlink="">
      <cdr:nvSpPr>
        <cdr:cNvPr id="2" name="矩形 1"/>
        <cdr:cNvSpPr/>
      </cdr:nvSpPr>
      <cdr:spPr>
        <a:xfrm xmlns:a="http://schemas.openxmlformats.org/drawingml/2006/main">
          <a:off x="2250410" y="1485900"/>
          <a:ext cx="237656" cy="15230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txBody>
        <a:bodyPr xmlns:a="http://schemas.openxmlformats.org/drawingml/2006/main" vert="horz" wrap="none" lIns="18288" tIns="22860" rIns="18288" bIns="22860" anchor="ctr" anchorCtr="0" upright="1">
          <a:spAutoFit/>
        </a:bodyPr>
        <a:lstStyle xmlns:a="http://schemas.openxmlformats.org/drawingml/2006/main"/>
        <a:p xmlns:a="http://schemas.openxmlformats.org/drawingml/2006/main">
          <a:pPr algn="ctr" rtl="0">
            <a:defRPr sz="1000"/>
          </a:pPr>
          <a:r>
            <a:rPr lang="zh-CN" altLang="en-US" sz="900" b="0" i="0" u="none" strike="noStrike" baseline="0">
              <a:solidFill>
                <a:srgbClr val="000000"/>
              </a:solidFill>
              <a:latin typeface="Calibri"/>
              <a:cs typeface="Calibri"/>
            </a:rPr>
            <a:t>3682</a:t>
          </a:r>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44</Pages>
  <Words>2980</Words>
  <Characters>16989</Characters>
  <Application>Microsoft Office Word</Application>
  <DocSecurity>0</DocSecurity>
  <Lines>141</Lines>
  <Paragraphs>39</Paragraphs>
  <ScaleCrop>false</ScaleCrop>
  <Company/>
  <LinksUpToDate>false</LinksUpToDate>
  <CharactersWithSpaces>19930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睿 向</cp:lastModifiedBy>
  <cp:revision>9</cp:revision>
  <cp:lastPrinted>2024-08-25T06:49:00Z</cp:lastPrinted>
  <dcterms:created xsi:type="dcterms:W3CDTF">2025-10-28T08:59:00Z</dcterms:created>
  <dcterms:modified xsi:type="dcterms:W3CDTF">2025-10-28T09:26:00Z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9A12013AD27A4DB4B2B93ADD2B4AE959</vt:lpwstr>
  </property>
</Properties>
</file>